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1A0530">
      <w:pPr>
        <w:autoSpaceDE w:val="0"/>
        <w:autoSpaceDN w:val="0"/>
        <w:adjustRightInd w:val="0"/>
        <w:spacing w:line="360" w:lineRule="auto"/>
        <w:jc w:val="center"/>
        <w:rPr>
          <w:rFonts w:ascii="Times New Roman" w:hAnsi="Times New Roman" w:eastAsia="方正小标宋_GBK"/>
          <w:bCs/>
          <w:kern w:val="0"/>
          <w:sz w:val="52"/>
          <w:szCs w:val="52"/>
        </w:rPr>
      </w:pPr>
    </w:p>
    <w:p w14:paraId="33965B80">
      <w:pPr>
        <w:autoSpaceDE w:val="0"/>
        <w:autoSpaceDN w:val="0"/>
        <w:adjustRightInd w:val="0"/>
        <w:spacing w:line="360" w:lineRule="auto"/>
        <w:jc w:val="center"/>
        <w:rPr>
          <w:rFonts w:ascii="Times New Roman" w:hAnsi="Times New Roman" w:eastAsia="方正小标宋_GBK"/>
          <w:bCs/>
          <w:kern w:val="0"/>
          <w:sz w:val="52"/>
          <w:szCs w:val="52"/>
        </w:rPr>
      </w:pPr>
    </w:p>
    <w:p w14:paraId="4CB42D9C">
      <w:pPr>
        <w:autoSpaceDE w:val="0"/>
        <w:autoSpaceDN w:val="0"/>
        <w:adjustRightInd w:val="0"/>
        <w:spacing w:line="360" w:lineRule="auto"/>
        <w:jc w:val="center"/>
        <w:rPr>
          <w:rFonts w:ascii="Times New Roman" w:hAnsi="Times New Roman" w:eastAsia="方正小标宋_GBK"/>
          <w:bCs/>
          <w:kern w:val="0"/>
          <w:sz w:val="52"/>
          <w:szCs w:val="52"/>
        </w:rPr>
      </w:pPr>
    </w:p>
    <w:p w14:paraId="5235FAF7">
      <w:pPr>
        <w:autoSpaceDE w:val="0"/>
        <w:autoSpaceDN w:val="0"/>
        <w:adjustRightInd w:val="0"/>
        <w:spacing w:line="360" w:lineRule="auto"/>
        <w:jc w:val="center"/>
        <w:rPr>
          <w:rFonts w:ascii="Times New Roman" w:hAnsi="Times New Roman" w:eastAsia="方正小标宋_GBK"/>
          <w:bCs/>
          <w:spacing w:val="-34"/>
          <w:kern w:val="0"/>
          <w:sz w:val="52"/>
          <w:szCs w:val="52"/>
        </w:rPr>
      </w:pPr>
      <w:r>
        <w:rPr>
          <w:rFonts w:ascii="Times New Roman" w:hAnsi="Times New Roman" w:eastAsia="方正小标宋_GBK"/>
          <w:bCs/>
          <w:kern w:val="0"/>
          <w:sz w:val="52"/>
          <w:szCs w:val="52"/>
        </w:rPr>
        <w:t>江苏省地方标准</w:t>
      </w:r>
      <w:r>
        <w:rPr>
          <w:rFonts w:ascii="Times New Roman" w:hAnsi="Times New Roman" w:eastAsia="方正小标宋_GBK"/>
          <w:bCs/>
          <w:kern w:val="0"/>
          <w:sz w:val="52"/>
          <w:szCs w:val="52"/>
        </w:rPr>
        <w:br w:type="textWrapping"/>
      </w:r>
      <w:r>
        <w:rPr>
          <w:rFonts w:hint="eastAsia" w:ascii="Times New Roman" w:hAnsi="Times New Roman" w:eastAsia="方正小标宋_GBK"/>
          <w:bCs/>
          <w:spacing w:val="-34"/>
          <w:kern w:val="0"/>
          <w:sz w:val="52"/>
          <w:szCs w:val="52"/>
        </w:rPr>
        <w:t>《认知障碍老年人康复训练服务规范</w:t>
      </w:r>
      <w:r>
        <w:rPr>
          <w:rFonts w:ascii="Times New Roman" w:hAnsi="Times New Roman" w:eastAsia="方正小标宋_GBK"/>
          <w:bCs/>
          <w:spacing w:val="-34"/>
          <w:kern w:val="0"/>
          <w:sz w:val="52"/>
          <w:szCs w:val="52"/>
        </w:rPr>
        <w:t>》</w:t>
      </w:r>
    </w:p>
    <w:p w14:paraId="06591313">
      <w:pPr>
        <w:autoSpaceDE w:val="0"/>
        <w:autoSpaceDN w:val="0"/>
        <w:adjustRightInd w:val="0"/>
        <w:spacing w:line="360" w:lineRule="auto"/>
        <w:jc w:val="center"/>
        <w:rPr>
          <w:rFonts w:ascii="Times New Roman" w:hAnsi="Times New Roman" w:eastAsia="方正小标宋_GBK"/>
          <w:bCs/>
          <w:kern w:val="0"/>
          <w:sz w:val="52"/>
          <w:szCs w:val="52"/>
        </w:rPr>
      </w:pPr>
      <w:r>
        <w:rPr>
          <w:rFonts w:hint="eastAsia" w:ascii="Times New Roman" w:hAnsi="Times New Roman" w:eastAsia="方正小标宋_GBK"/>
          <w:bCs/>
          <w:spacing w:val="-34"/>
          <w:kern w:val="0"/>
          <w:sz w:val="52"/>
          <w:szCs w:val="52"/>
        </w:rPr>
        <w:t>（</w:t>
      </w:r>
      <w:r>
        <w:rPr>
          <w:rFonts w:hint="eastAsia" w:ascii="Times New Roman" w:hAnsi="Times New Roman" w:eastAsia="方正小标宋_GBK"/>
          <w:bCs/>
          <w:spacing w:val="-34"/>
          <w:kern w:val="0"/>
          <w:sz w:val="52"/>
          <w:szCs w:val="52"/>
          <w:lang w:val="en-US" w:eastAsia="zh-CN"/>
        </w:rPr>
        <w:t>报批</w:t>
      </w:r>
      <w:r>
        <w:rPr>
          <w:rFonts w:hint="eastAsia" w:ascii="Times New Roman" w:hAnsi="Times New Roman" w:eastAsia="方正小标宋_GBK"/>
          <w:bCs/>
          <w:spacing w:val="-34"/>
          <w:kern w:val="0"/>
          <w:sz w:val="52"/>
          <w:szCs w:val="52"/>
        </w:rPr>
        <w:t>稿）</w:t>
      </w:r>
      <w:r>
        <w:rPr>
          <w:rFonts w:ascii="Times New Roman" w:hAnsi="Times New Roman" w:eastAsia="方正小标宋_GBK"/>
          <w:bCs/>
          <w:kern w:val="0"/>
          <w:sz w:val="52"/>
          <w:szCs w:val="52"/>
        </w:rPr>
        <w:br w:type="textWrapping"/>
      </w:r>
    </w:p>
    <w:p w14:paraId="184D3323">
      <w:pPr>
        <w:autoSpaceDE w:val="0"/>
        <w:autoSpaceDN w:val="0"/>
        <w:adjustRightInd w:val="0"/>
        <w:spacing w:line="360" w:lineRule="auto"/>
        <w:jc w:val="center"/>
        <w:rPr>
          <w:rFonts w:ascii="Times New Roman" w:hAnsi="Times New Roman" w:eastAsia="黑体"/>
          <w:bCs/>
          <w:kern w:val="0"/>
          <w:sz w:val="72"/>
          <w:szCs w:val="72"/>
        </w:rPr>
      </w:pPr>
    </w:p>
    <w:p w14:paraId="2B3B4327">
      <w:pPr>
        <w:autoSpaceDE w:val="0"/>
        <w:autoSpaceDN w:val="0"/>
        <w:adjustRightInd w:val="0"/>
        <w:spacing w:line="360" w:lineRule="auto"/>
        <w:jc w:val="center"/>
        <w:rPr>
          <w:rFonts w:ascii="Times New Roman" w:hAnsi="Times New Roman" w:eastAsia="黑体"/>
          <w:bCs/>
          <w:kern w:val="0"/>
          <w:sz w:val="72"/>
          <w:szCs w:val="72"/>
        </w:rPr>
      </w:pPr>
    </w:p>
    <w:p w14:paraId="1B73F4B5">
      <w:pPr>
        <w:autoSpaceDE w:val="0"/>
        <w:autoSpaceDN w:val="0"/>
        <w:adjustRightInd w:val="0"/>
        <w:spacing w:line="360" w:lineRule="auto"/>
        <w:jc w:val="center"/>
        <w:rPr>
          <w:rFonts w:ascii="Times New Roman" w:hAnsi="Times New Roman" w:eastAsia="黑体"/>
          <w:bCs/>
          <w:kern w:val="0"/>
          <w:sz w:val="72"/>
          <w:szCs w:val="72"/>
        </w:rPr>
      </w:pPr>
      <w:r>
        <w:rPr>
          <w:rFonts w:ascii="Times New Roman" w:hAnsi="Times New Roman" w:eastAsia="黑体"/>
          <w:bCs/>
          <w:kern w:val="0"/>
          <w:sz w:val="72"/>
          <w:szCs w:val="72"/>
        </w:rPr>
        <w:t>编</w:t>
      </w:r>
    </w:p>
    <w:p w14:paraId="440BF263">
      <w:pPr>
        <w:autoSpaceDE w:val="0"/>
        <w:autoSpaceDN w:val="0"/>
        <w:adjustRightInd w:val="0"/>
        <w:spacing w:line="360" w:lineRule="auto"/>
        <w:jc w:val="center"/>
        <w:rPr>
          <w:rFonts w:ascii="Times New Roman" w:hAnsi="Times New Roman" w:eastAsia="黑体"/>
          <w:bCs/>
          <w:kern w:val="0"/>
          <w:sz w:val="72"/>
          <w:szCs w:val="72"/>
        </w:rPr>
      </w:pPr>
      <w:r>
        <w:rPr>
          <w:rFonts w:ascii="Times New Roman" w:hAnsi="Times New Roman" w:eastAsia="黑体"/>
          <w:bCs/>
          <w:kern w:val="0"/>
          <w:sz w:val="72"/>
          <w:szCs w:val="72"/>
        </w:rPr>
        <w:t>制</w:t>
      </w:r>
    </w:p>
    <w:p w14:paraId="119848B8">
      <w:pPr>
        <w:autoSpaceDE w:val="0"/>
        <w:autoSpaceDN w:val="0"/>
        <w:adjustRightInd w:val="0"/>
        <w:spacing w:line="360" w:lineRule="auto"/>
        <w:jc w:val="center"/>
        <w:rPr>
          <w:rFonts w:ascii="Times New Roman" w:hAnsi="Times New Roman" w:eastAsia="黑体"/>
          <w:bCs/>
          <w:kern w:val="0"/>
          <w:sz w:val="72"/>
          <w:szCs w:val="72"/>
        </w:rPr>
      </w:pPr>
      <w:r>
        <w:rPr>
          <w:rFonts w:ascii="Times New Roman" w:hAnsi="Times New Roman" w:eastAsia="黑体"/>
          <w:bCs/>
          <w:kern w:val="0"/>
          <w:sz w:val="72"/>
          <w:szCs w:val="72"/>
        </w:rPr>
        <w:t>说</w:t>
      </w:r>
    </w:p>
    <w:p w14:paraId="0CBB52AC">
      <w:pPr>
        <w:autoSpaceDE w:val="0"/>
        <w:autoSpaceDN w:val="0"/>
        <w:adjustRightInd w:val="0"/>
        <w:spacing w:line="360" w:lineRule="auto"/>
        <w:jc w:val="center"/>
        <w:rPr>
          <w:rFonts w:ascii="Times New Roman" w:hAnsi="Times New Roman" w:eastAsia="黑体"/>
          <w:bCs/>
          <w:kern w:val="0"/>
          <w:sz w:val="72"/>
          <w:szCs w:val="72"/>
        </w:rPr>
      </w:pPr>
      <w:r>
        <w:rPr>
          <w:rFonts w:ascii="Times New Roman" w:hAnsi="Times New Roman" w:eastAsia="黑体"/>
          <w:bCs/>
          <w:kern w:val="0"/>
          <w:sz w:val="72"/>
          <w:szCs w:val="72"/>
        </w:rPr>
        <w:t>明</w:t>
      </w:r>
    </w:p>
    <w:p w14:paraId="189E5542">
      <w:pPr>
        <w:autoSpaceDE w:val="0"/>
        <w:autoSpaceDN w:val="0"/>
        <w:adjustRightInd w:val="0"/>
        <w:spacing w:line="360" w:lineRule="auto"/>
        <w:jc w:val="left"/>
        <w:rPr>
          <w:rFonts w:ascii="Times New Roman" w:hAnsi="Times New Roman"/>
          <w:bCs/>
          <w:kern w:val="0"/>
          <w:sz w:val="32"/>
          <w:szCs w:val="32"/>
        </w:rPr>
      </w:pPr>
    </w:p>
    <w:p w14:paraId="110C7A78">
      <w:pPr>
        <w:pStyle w:val="3"/>
        <w:rPr>
          <w:rFonts w:ascii="Times New Roman" w:hAnsi="Times New Roman" w:cs="Times New Roman"/>
          <w:lang w:val="en-US" w:bidi="ar-SA"/>
        </w:rPr>
      </w:pPr>
    </w:p>
    <w:p w14:paraId="21EADE26">
      <w:pPr>
        <w:autoSpaceDE w:val="0"/>
        <w:autoSpaceDN w:val="0"/>
        <w:adjustRightInd w:val="0"/>
        <w:spacing w:line="360" w:lineRule="auto"/>
        <w:jc w:val="center"/>
        <w:rPr>
          <w:rFonts w:ascii="Times New Roman" w:hAnsi="Times New Roman" w:eastAsia="方正仿宋_GBK"/>
          <w:b/>
          <w:kern w:val="0"/>
          <w:sz w:val="32"/>
          <w:szCs w:val="32"/>
        </w:rPr>
      </w:pPr>
      <w:r>
        <w:rPr>
          <w:rFonts w:ascii="Times New Roman" w:hAnsi="Times New Roman" w:eastAsia="方正仿宋_GBK"/>
          <w:b/>
          <w:kern w:val="0"/>
          <w:sz w:val="32"/>
          <w:szCs w:val="32"/>
        </w:rPr>
        <w:t>标准起草组</w:t>
      </w:r>
    </w:p>
    <w:p w14:paraId="26EB5D93">
      <w:pPr>
        <w:jc w:val="center"/>
        <w:rPr>
          <w:rFonts w:ascii="Times New Roman" w:hAnsi="Times New Roman" w:eastAsia="方正仿宋_GBK"/>
          <w:b/>
          <w:kern w:val="0"/>
          <w:sz w:val="32"/>
          <w:szCs w:val="32"/>
        </w:rPr>
      </w:pPr>
      <w:r>
        <w:rPr>
          <w:rFonts w:ascii="Times New Roman" w:hAnsi="Times New Roman" w:eastAsia="方正仿宋_GBK"/>
          <w:b/>
          <w:kern w:val="0"/>
          <w:sz w:val="32"/>
          <w:szCs w:val="32"/>
        </w:rPr>
        <w:t>二〇二四年</w:t>
      </w:r>
      <w:r>
        <w:rPr>
          <w:rFonts w:hint="eastAsia" w:ascii="Times New Roman" w:hAnsi="Times New Roman" w:eastAsia="方正仿宋_GBK"/>
          <w:b/>
          <w:kern w:val="0"/>
          <w:sz w:val="32"/>
          <w:szCs w:val="32"/>
          <w:lang w:val="en-US" w:eastAsia="zh-CN"/>
        </w:rPr>
        <w:t>十</w:t>
      </w:r>
      <w:r>
        <w:rPr>
          <w:rFonts w:ascii="Times New Roman" w:hAnsi="Times New Roman" w:eastAsia="方正仿宋_GBK"/>
          <w:b/>
          <w:kern w:val="0"/>
          <w:sz w:val="32"/>
          <w:szCs w:val="32"/>
        </w:rPr>
        <w:t>月</w:t>
      </w:r>
    </w:p>
    <w:p w14:paraId="2220F58E">
      <w:pPr>
        <w:pStyle w:val="3"/>
        <w:rPr>
          <w:rFonts w:ascii="Times New Roman" w:hAnsi="Times New Roman" w:cs="Times New Roman"/>
          <w:lang w:val="en-US" w:bidi="ar-SA"/>
        </w:rPr>
        <w:sectPr>
          <w:footerReference r:id="rId3" w:type="default"/>
          <w:pgSz w:w="11906" w:h="16838"/>
          <w:pgMar w:top="1440" w:right="1800" w:bottom="1440" w:left="1800" w:header="851" w:footer="992" w:gutter="0"/>
          <w:cols w:space="720" w:num="1"/>
          <w:docGrid w:type="lines" w:linePitch="312" w:charSpace="0"/>
        </w:sectPr>
      </w:pPr>
    </w:p>
    <w:p w14:paraId="43770250">
      <w:pPr>
        <w:pStyle w:val="6"/>
        <w:widowControl/>
        <w:shd w:val="clear" w:color="auto" w:fill="FFFFFF"/>
        <w:spacing w:line="600" w:lineRule="exact"/>
        <w:jc w:val="center"/>
        <w:outlineLvl w:val="0"/>
        <w:rPr>
          <w:rFonts w:ascii="Times New Roman" w:hAnsi="Times New Roman" w:eastAsia="方正小标宋_GBK"/>
          <w:bCs/>
          <w:color w:val="000000"/>
          <w:w w:val="100"/>
          <w:kern w:val="0"/>
          <w:sz w:val="44"/>
          <w:szCs w:val="44"/>
        </w:rPr>
      </w:pPr>
      <w:r>
        <w:rPr>
          <w:rFonts w:ascii="Times New Roman" w:hAnsi="Times New Roman" w:eastAsia="方正小标宋_GBK"/>
          <w:bCs/>
          <w:color w:val="000000"/>
          <w:w w:val="100"/>
          <w:kern w:val="0"/>
          <w:sz w:val="44"/>
          <w:szCs w:val="44"/>
        </w:rPr>
        <w:t>江苏省地方标准</w:t>
      </w:r>
    </w:p>
    <w:p w14:paraId="1502C645">
      <w:pPr>
        <w:pStyle w:val="6"/>
        <w:widowControl/>
        <w:shd w:val="clear" w:color="auto" w:fill="FFFFFF"/>
        <w:spacing w:line="600" w:lineRule="exact"/>
        <w:jc w:val="center"/>
        <w:outlineLvl w:val="0"/>
        <w:rPr>
          <w:rFonts w:ascii="Times New Roman" w:hAnsi="Times New Roman" w:eastAsia="方正小标宋_GBK"/>
          <w:bCs/>
          <w:color w:val="000000"/>
          <w:w w:val="100"/>
          <w:kern w:val="0"/>
          <w:sz w:val="44"/>
          <w:szCs w:val="44"/>
        </w:rPr>
      </w:pPr>
      <w:r>
        <w:rPr>
          <w:rFonts w:ascii="Times New Roman" w:hAnsi="Times New Roman" w:eastAsia="方正小标宋_GBK"/>
          <w:bCs/>
          <w:color w:val="000000"/>
          <w:w w:val="100"/>
          <w:kern w:val="0"/>
          <w:sz w:val="44"/>
          <w:szCs w:val="44"/>
        </w:rPr>
        <w:t>《</w:t>
      </w:r>
      <w:r>
        <w:rPr>
          <w:rFonts w:hint="eastAsia" w:ascii="Times New Roman" w:hAnsi="Times New Roman" w:eastAsia="方正小标宋_GBK"/>
          <w:bCs/>
          <w:color w:val="000000"/>
          <w:w w:val="100"/>
          <w:kern w:val="0"/>
          <w:sz w:val="44"/>
          <w:szCs w:val="44"/>
        </w:rPr>
        <w:t>认知障碍老年人康复训练服务规范</w:t>
      </w:r>
      <w:r>
        <w:rPr>
          <w:rFonts w:ascii="Times New Roman" w:hAnsi="Times New Roman" w:eastAsia="方正小标宋_GBK"/>
          <w:bCs/>
          <w:color w:val="000000"/>
          <w:w w:val="100"/>
          <w:kern w:val="0"/>
          <w:sz w:val="44"/>
          <w:szCs w:val="44"/>
        </w:rPr>
        <w:t>》</w:t>
      </w:r>
    </w:p>
    <w:p w14:paraId="32E813DA">
      <w:pPr>
        <w:pStyle w:val="6"/>
        <w:widowControl/>
        <w:shd w:val="clear" w:color="auto" w:fill="FFFFFF"/>
        <w:spacing w:line="600" w:lineRule="exact"/>
        <w:jc w:val="center"/>
        <w:outlineLvl w:val="0"/>
        <w:rPr>
          <w:rFonts w:ascii="Times New Roman" w:hAnsi="Times New Roman" w:eastAsia="方正小标宋_GBK"/>
          <w:bCs/>
          <w:color w:val="000000"/>
          <w:w w:val="100"/>
          <w:kern w:val="0"/>
          <w:sz w:val="44"/>
          <w:szCs w:val="44"/>
        </w:rPr>
      </w:pPr>
      <w:r>
        <w:rPr>
          <w:rFonts w:ascii="Times New Roman" w:hAnsi="Times New Roman" w:eastAsia="方正小标宋_GBK"/>
          <w:bCs/>
          <w:color w:val="000000"/>
          <w:w w:val="100"/>
          <w:kern w:val="0"/>
          <w:sz w:val="44"/>
          <w:szCs w:val="44"/>
        </w:rPr>
        <w:t>（</w:t>
      </w:r>
      <w:r>
        <w:rPr>
          <w:rFonts w:hint="eastAsia" w:ascii="Times New Roman" w:hAnsi="Times New Roman" w:eastAsia="方正小标宋_GBK"/>
          <w:bCs/>
          <w:color w:val="000000"/>
          <w:w w:val="100"/>
          <w:kern w:val="0"/>
          <w:sz w:val="44"/>
          <w:szCs w:val="44"/>
          <w:lang w:val="en-US" w:eastAsia="zh-CN"/>
        </w:rPr>
        <w:t>报批稿</w:t>
      </w:r>
      <w:r>
        <w:rPr>
          <w:rFonts w:ascii="Times New Roman" w:hAnsi="Times New Roman" w:eastAsia="方正小标宋_GBK"/>
          <w:bCs/>
          <w:color w:val="000000"/>
          <w:w w:val="100"/>
          <w:kern w:val="0"/>
          <w:sz w:val="44"/>
          <w:szCs w:val="44"/>
        </w:rPr>
        <w:t>）编制说明</w:t>
      </w:r>
    </w:p>
    <w:p w14:paraId="1F82E5B9">
      <w:pPr>
        <w:rPr>
          <w:rFonts w:ascii="Times New Roman" w:hAnsi="Times New Roman"/>
        </w:rPr>
      </w:pPr>
    </w:p>
    <w:p w14:paraId="259E9E6F">
      <w:pPr>
        <w:pStyle w:val="3"/>
        <w:ind w:left="0"/>
        <w:rPr>
          <w:rFonts w:ascii="Times New Roman" w:hAnsi="Times New Roman" w:eastAsia="黑体" w:cs="Times New Roman"/>
          <w:b w:val="0"/>
          <w:bCs w:val="0"/>
        </w:rPr>
      </w:pPr>
    </w:p>
    <w:p w14:paraId="2C2535C5">
      <w:pPr>
        <w:pStyle w:val="3"/>
        <w:numPr>
          <w:ilvl w:val="0"/>
          <w:numId w:val="2"/>
        </w:numPr>
        <w:ind w:left="0"/>
        <w:rPr>
          <w:rFonts w:ascii="Times New Roman" w:hAnsi="Times New Roman" w:eastAsia="黑体" w:cs="Times New Roman"/>
          <w:b w:val="0"/>
          <w:bCs w:val="0"/>
          <w:color w:val="auto"/>
          <w:lang w:val="en-US"/>
        </w:rPr>
      </w:pPr>
      <w:r>
        <w:rPr>
          <w:rFonts w:ascii="Times New Roman" w:hAnsi="Times New Roman" w:eastAsia="黑体" w:cs="Times New Roman"/>
          <w:b w:val="0"/>
          <w:bCs w:val="0"/>
          <w:color w:val="auto"/>
          <w:lang w:val="en-US"/>
        </w:rPr>
        <w:t>目的意义</w:t>
      </w:r>
    </w:p>
    <w:p w14:paraId="726D6B18">
      <w:pPr>
        <w:spacing w:line="600" w:lineRule="exact"/>
        <w:ind w:firstLine="640" w:firstLineChars="200"/>
        <w:jc w:val="left"/>
        <w:rPr>
          <w:rFonts w:hint="eastAsia" w:ascii="Times New Roman" w:hAnsi="Times New Roman" w:eastAsia="仿宋"/>
          <w:color w:val="auto"/>
          <w:sz w:val="32"/>
          <w:szCs w:val="32"/>
        </w:rPr>
      </w:pPr>
      <w:r>
        <w:rPr>
          <w:rFonts w:hint="eastAsia" w:ascii="Times New Roman" w:hAnsi="Times New Roman" w:eastAsia="仿宋"/>
          <w:color w:val="auto"/>
          <w:sz w:val="32"/>
          <w:szCs w:val="32"/>
        </w:rPr>
        <w:t>中国第七次人口普查数据显示，2020年人口总量达到14.1178亿，从年龄构成看，60岁及以上人口为26402万人，占18.70%（其中，65岁及以上人口为19064万人，占13.50%）。与2010年相比，60岁及以上人口的比重上升了5.44个百分点，老龄化趋势加重。“十四五”时期，我国人口老龄化程度将进一步加深，60岁及以上人口占总人口比例将超过20%，进入中度老龄化社会。</w:t>
      </w:r>
    </w:p>
    <w:p w14:paraId="321AC9E1">
      <w:pPr>
        <w:spacing w:line="600" w:lineRule="exact"/>
        <w:ind w:firstLine="640" w:firstLineChars="200"/>
        <w:jc w:val="left"/>
        <w:rPr>
          <w:rFonts w:hint="eastAsia" w:ascii="Times New Roman" w:hAnsi="Times New Roman" w:eastAsia="仿宋"/>
          <w:color w:val="auto"/>
          <w:sz w:val="32"/>
          <w:szCs w:val="32"/>
        </w:rPr>
      </w:pPr>
      <w:r>
        <w:rPr>
          <w:rFonts w:hint="eastAsia" w:ascii="Times New Roman" w:hAnsi="Times New Roman" w:eastAsia="仿宋"/>
          <w:color w:val="auto"/>
          <w:sz w:val="32"/>
          <w:szCs w:val="32"/>
        </w:rPr>
        <w:t>老龄化程度越高，认知症的患病率也将越高。因此老龄化社会中，老年照护最大的挑战之一就是认知症照护。有数据统计，目前，全球每3秒钟就有一位认知症患者产生，中国的认知症患者更不在少数。有研究显示，中国60岁及以上人群中，认知症患病率为6.04%，其中阿尔茨海默病为3.94%，血管性失智症为1.57%，其它类型认知症为0.53%。基于患病率与人口基数推算，目前中国有1507万认知症患者，其中阿尔茨海默病983万，血管性痴呆392万，其它类型的认知症为132万。此外，调查还显示，轻度认知障碍的老年人群占比要大得多，达到了15.54%，约为3877万人。</w:t>
      </w:r>
    </w:p>
    <w:p w14:paraId="408EC82F">
      <w:pPr>
        <w:spacing w:line="600" w:lineRule="exact"/>
        <w:ind w:firstLine="643" w:firstLineChars="200"/>
        <w:jc w:val="left"/>
        <w:rPr>
          <w:rFonts w:hint="eastAsia" w:ascii="Times New Roman" w:hAnsi="Times New Roman" w:eastAsia="仿宋"/>
          <w:color w:val="auto"/>
          <w:sz w:val="32"/>
          <w:szCs w:val="32"/>
        </w:rPr>
      </w:pPr>
      <w:r>
        <w:rPr>
          <w:rFonts w:hint="eastAsia" w:ascii="Times New Roman" w:hAnsi="Times New Roman" w:eastAsia="仿宋"/>
          <w:b/>
          <w:bCs/>
          <w:color w:val="auto"/>
          <w:sz w:val="32"/>
          <w:szCs w:val="32"/>
        </w:rPr>
        <w:t>在政策层面，我国从2017年起就开始重视认知症老人的照护工作。</w:t>
      </w:r>
      <w:r>
        <w:rPr>
          <w:rFonts w:hint="eastAsia" w:ascii="Times New Roman" w:hAnsi="Times New Roman" w:eastAsia="仿宋"/>
          <w:color w:val="auto"/>
          <w:sz w:val="32"/>
          <w:szCs w:val="32"/>
        </w:rPr>
        <w:t>《“十三五”健康老龄化规划》提出，重点做好对有需求的经济困难的失能、失智、计划生育特殊家庭老年人的健康保障和服务关爱工作。支持养老机构按相关规定提供其所需的医疗护理和生活照护服务等；在《健康中国行动（2019－2030）》中，也着重提到，预防老年人失能、痴呆等健康问题，要求老年期痴呆患病率增速下降。《“十四五”健康老龄化规划》提出，广泛开展关爱认知障碍老年人的社会宣传与公共教育活动，提升公众的失智预防和失智照护水平。</w:t>
      </w:r>
    </w:p>
    <w:p w14:paraId="6594E300">
      <w:pPr>
        <w:spacing w:line="600" w:lineRule="exact"/>
        <w:ind w:firstLine="640" w:firstLineChars="200"/>
        <w:jc w:val="left"/>
        <w:rPr>
          <w:rFonts w:hint="eastAsia" w:ascii="Times New Roman" w:hAnsi="Times New Roman" w:eastAsia="仿宋"/>
          <w:color w:val="auto"/>
          <w:sz w:val="32"/>
          <w:szCs w:val="32"/>
        </w:rPr>
      </w:pPr>
      <w:r>
        <w:rPr>
          <w:rFonts w:hint="eastAsia" w:ascii="Times New Roman" w:hAnsi="Times New Roman" w:eastAsia="仿宋"/>
          <w:color w:val="auto"/>
          <w:sz w:val="32"/>
          <w:szCs w:val="32"/>
        </w:rPr>
        <w:t>2021年5月12日，中国老龄协会在京发布《失智症老年人照护服务现状与发展报告》指出，随着我国人口老龄化快速发展，认知症老年人照护服务需求总量持续增加，将带来长期护理保险扩展覆盖范围、养老服务机构逐步转型、社区增设照护服务项目等相应变化。目前，我国老年人的健康状况不容乐观，认知症老年人的照护服务需求呈现快速增长趋势。近年来，虽然我国认知症老年人照护服务工作不断取得新进展，但仍存在专项政策制度不完善、专业照护服务供给不足、社会知晓率偏低、家庭照护经济负担沉重等问题。以现状为基础，我国认知症老年人照护服务发展得出四个基本判断：</w:t>
      </w:r>
    </w:p>
    <w:p w14:paraId="07CBDCC3">
      <w:pPr>
        <w:spacing w:line="600" w:lineRule="exact"/>
        <w:ind w:firstLine="643" w:firstLineChars="200"/>
        <w:jc w:val="left"/>
        <w:rPr>
          <w:rFonts w:hint="eastAsia" w:ascii="Times New Roman" w:hAnsi="Times New Roman" w:eastAsia="仿宋"/>
          <w:color w:val="auto"/>
          <w:sz w:val="32"/>
          <w:szCs w:val="32"/>
        </w:rPr>
      </w:pPr>
      <w:r>
        <w:rPr>
          <w:rFonts w:hint="eastAsia" w:ascii="Times New Roman" w:hAnsi="Times New Roman" w:eastAsia="仿宋"/>
          <w:b/>
          <w:bCs/>
          <w:color w:val="auto"/>
          <w:sz w:val="32"/>
          <w:szCs w:val="32"/>
        </w:rPr>
        <w:t>一是照护服务需求总量持续增加。</w:t>
      </w:r>
      <w:r>
        <w:rPr>
          <w:rFonts w:hint="eastAsia" w:ascii="Times New Roman" w:hAnsi="Times New Roman" w:eastAsia="仿宋"/>
          <w:color w:val="auto"/>
          <w:sz w:val="32"/>
          <w:szCs w:val="32"/>
        </w:rPr>
        <w:t>2030年我国老年痴呆人数将达到2220万，2050年将达到2898万。当老年人口达到峰值时，认知症老年人的照护服务需求也将达到顶峰，需要提前在思想、制度、物质等方面做好全方位的准备。</w:t>
      </w:r>
    </w:p>
    <w:p w14:paraId="3F18358E">
      <w:pPr>
        <w:spacing w:line="600" w:lineRule="exact"/>
        <w:ind w:firstLine="643" w:firstLineChars="200"/>
        <w:jc w:val="left"/>
        <w:rPr>
          <w:rFonts w:hint="eastAsia" w:ascii="Times New Roman" w:hAnsi="Times New Roman" w:eastAsia="仿宋"/>
          <w:color w:val="auto"/>
          <w:sz w:val="32"/>
          <w:szCs w:val="32"/>
        </w:rPr>
      </w:pPr>
      <w:r>
        <w:rPr>
          <w:rFonts w:hint="eastAsia" w:ascii="Times New Roman" w:hAnsi="Times New Roman" w:eastAsia="仿宋"/>
          <w:b/>
          <w:bCs/>
          <w:color w:val="auto"/>
          <w:sz w:val="32"/>
          <w:szCs w:val="32"/>
        </w:rPr>
        <w:t>二是家庭照护服务人力资源仍然短缺。</w:t>
      </w:r>
      <w:r>
        <w:rPr>
          <w:rFonts w:hint="eastAsia" w:ascii="Times New Roman" w:hAnsi="Times New Roman" w:eastAsia="仿宋"/>
          <w:color w:val="auto"/>
          <w:sz w:val="32"/>
          <w:szCs w:val="32"/>
        </w:rPr>
        <w:t>预测到2035年我国老年抚养比将超过50%，2050年将达到67.9%，认知症老年人家庭自身能够提供照护服务的人力资源将日益减少，专业化照护服务需求将呈持续增长趋势，但难以得到满足。</w:t>
      </w:r>
    </w:p>
    <w:p w14:paraId="38C49A2A">
      <w:pPr>
        <w:spacing w:line="600" w:lineRule="exact"/>
        <w:ind w:firstLine="643" w:firstLineChars="200"/>
        <w:jc w:val="left"/>
        <w:rPr>
          <w:rFonts w:hint="eastAsia" w:ascii="Times New Roman" w:hAnsi="Times New Roman" w:eastAsia="仿宋"/>
          <w:color w:val="auto"/>
          <w:sz w:val="32"/>
          <w:szCs w:val="32"/>
        </w:rPr>
      </w:pPr>
      <w:r>
        <w:rPr>
          <w:rFonts w:hint="eastAsia" w:ascii="Times New Roman" w:hAnsi="Times New Roman" w:eastAsia="仿宋"/>
          <w:b/>
          <w:bCs/>
          <w:color w:val="auto"/>
          <w:sz w:val="32"/>
          <w:szCs w:val="32"/>
        </w:rPr>
        <w:t>三是养老机构的照护服务对象将逐步转变。</w:t>
      </w:r>
      <w:r>
        <w:rPr>
          <w:rFonts w:hint="eastAsia" w:ascii="Times New Roman" w:hAnsi="Times New Roman" w:eastAsia="仿宋"/>
          <w:color w:val="auto"/>
          <w:sz w:val="32"/>
          <w:szCs w:val="32"/>
        </w:rPr>
        <w:t>养老床位供需不匹配，大部分养老机构市场化发展水平不高，盈利能力不足，为认知症老年人提供专业照护、康复服务，或将成为养老服务机构转型的重要契机。</w:t>
      </w:r>
    </w:p>
    <w:p w14:paraId="72F2BBD2">
      <w:pPr>
        <w:spacing w:line="600" w:lineRule="exact"/>
        <w:ind w:firstLine="643" w:firstLineChars="200"/>
        <w:jc w:val="left"/>
        <w:rPr>
          <w:rFonts w:hint="eastAsia" w:ascii="Times New Roman" w:hAnsi="Times New Roman" w:eastAsia="仿宋"/>
          <w:color w:val="auto"/>
          <w:sz w:val="32"/>
          <w:szCs w:val="32"/>
        </w:rPr>
      </w:pPr>
      <w:r>
        <w:rPr>
          <w:rFonts w:hint="eastAsia" w:ascii="Times New Roman" w:hAnsi="Times New Roman" w:eastAsia="仿宋"/>
          <w:b/>
          <w:bCs/>
          <w:color w:val="auto"/>
          <w:sz w:val="32"/>
          <w:szCs w:val="32"/>
        </w:rPr>
        <w:t>四是长期护理保险将成为照护服务的有力支撑。</w:t>
      </w:r>
      <w:r>
        <w:rPr>
          <w:rFonts w:hint="eastAsia" w:ascii="Times New Roman" w:hAnsi="Times New Roman" w:eastAsia="仿宋"/>
          <w:color w:val="auto"/>
          <w:sz w:val="32"/>
          <w:szCs w:val="32"/>
        </w:rPr>
        <w:t>中重度认知症老年人属于失能半失能老年人，同样需要纳入长期护理保险制度范畴，由长期护理保险提供有效的护理保障或者经济补偿，成为使认知症老年人家庭得以维系和喘息的重要支撑。</w:t>
      </w:r>
    </w:p>
    <w:p w14:paraId="2F714A11">
      <w:pPr>
        <w:spacing w:line="600" w:lineRule="exact"/>
        <w:ind w:firstLine="643" w:firstLineChars="200"/>
        <w:jc w:val="left"/>
        <w:rPr>
          <w:rFonts w:hint="eastAsia" w:ascii="Times New Roman" w:hAnsi="Times New Roman" w:eastAsia="仿宋"/>
          <w:color w:val="auto"/>
          <w:sz w:val="32"/>
          <w:szCs w:val="32"/>
        </w:rPr>
      </w:pPr>
      <w:r>
        <w:rPr>
          <w:rFonts w:hint="eastAsia" w:ascii="Times New Roman" w:hAnsi="Times New Roman" w:eastAsia="仿宋"/>
          <w:b/>
          <w:bCs/>
          <w:color w:val="auto"/>
          <w:sz w:val="32"/>
          <w:szCs w:val="32"/>
        </w:rPr>
        <w:t>地方层面上</w:t>
      </w:r>
      <w:r>
        <w:rPr>
          <w:rFonts w:hint="eastAsia" w:ascii="Times New Roman" w:hAnsi="Times New Roman" w:eastAsia="仿宋"/>
          <w:color w:val="auto"/>
          <w:sz w:val="32"/>
          <w:szCs w:val="32"/>
        </w:rPr>
        <w:t>，上海、青岛、杭州等地先行对该领域予以关注，在着力建设“社会养老服务体系”的同时，积极推进建设“认知症老年照护体系”。我省近年也将“认知症照护”项目纳入“江苏省养老护理职业技能大赛”中。各地区的认知症照护、康复历经从传统机构照顾管理到以人为中心的照护，其背后的趋势体现了从保障生活向人文关怀的转变，从普适化向人性化的转变，单一化向多元化的转变。</w:t>
      </w:r>
    </w:p>
    <w:p w14:paraId="07A2532F">
      <w:pPr>
        <w:spacing w:line="600" w:lineRule="exact"/>
        <w:ind w:firstLine="640" w:firstLineChars="200"/>
        <w:jc w:val="left"/>
        <w:rPr>
          <w:rFonts w:hint="eastAsia" w:ascii="Times New Roman" w:hAnsi="Times New Roman" w:eastAsia="仿宋"/>
          <w:color w:val="auto"/>
          <w:sz w:val="32"/>
          <w:szCs w:val="32"/>
        </w:rPr>
      </w:pPr>
      <w:r>
        <w:rPr>
          <w:rFonts w:hint="eastAsia" w:ascii="Times New Roman" w:hAnsi="Times New Roman" w:eastAsia="仿宋"/>
          <w:color w:val="auto"/>
          <w:sz w:val="32"/>
          <w:szCs w:val="32"/>
        </w:rPr>
        <w:t>认知症康复作为现今养老服务体系的重点，是涵盖医疗、护理、心理、社工等内容的整合服务，对服务体系、专业能力和人员素质有很高的要求。从目前来看，我国的康复服务中，养老机构是实施认知症前期干预措施的重要场所，但是普遍存在护理人员不专业、专业医疗机构缺人手的问题。养老机构对于失智症老年人康复训练，都是通过实践不断摸索总结出来的，但由于缺乏对认知症康复训练标准和实时跟进调整标准，没能真正进入干预中并发挥作用。养老机构应对认知症老年人给出个体化的综合康复训练方案，对认知训练、综合健康管理、饮食、运动、人工智能预警及物理康复等方面作出要求。</w:t>
      </w:r>
    </w:p>
    <w:p w14:paraId="29F8757C">
      <w:pPr>
        <w:spacing w:line="600" w:lineRule="exact"/>
        <w:ind w:firstLine="640" w:firstLineChars="200"/>
        <w:jc w:val="left"/>
        <w:rPr>
          <w:rFonts w:ascii="Times New Roman" w:hAnsi="Times New Roman" w:eastAsia="仿宋"/>
          <w:color w:val="auto"/>
          <w:sz w:val="32"/>
          <w:szCs w:val="32"/>
        </w:rPr>
      </w:pPr>
      <w:r>
        <w:rPr>
          <w:rFonts w:hint="eastAsia" w:ascii="Times New Roman" w:hAnsi="Times New Roman" w:eastAsia="仿宋"/>
          <w:color w:val="auto"/>
          <w:sz w:val="32"/>
          <w:szCs w:val="32"/>
        </w:rPr>
        <w:t>因此，进一步提高专业机构的康复服务能力和康复服务质量，进行统一、规范化的管理，以认知症障碍老年人康复服务标准研究为突破口，研制江苏省地方标准《认知障碍老年人康复训练服务规范》，推动养老服务体系和老年健康体系更加完善，具有十分重要的现实意义。</w:t>
      </w:r>
    </w:p>
    <w:p w14:paraId="4942E2C5">
      <w:pPr>
        <w:pStyle w:val="3"/>
        <w:numPr>
          <w:ilvl w:val="0"/>
          <w:numId w:val="2"/>
        </w:numPr>
        <w:ind w:left="0"/>
        <w:rPr>
          <w:rFonts w:ascii="Times New Roman" w:hAnsi="Times New Roman" w:eastAsia="黑体" w:cs="Times New Roman"/>
          <w:b w:val="0"/>
          <w:bCs w:val="0"/>
          <w:color w:val="000000" w:themeColor="text1"/>
          <w:lang w:val="en-US"/>
          <w14:textFill>
            <w14:solidFill>
              <w14:schemeClr w14:val="tx1"/>
            </w14:solidFill>
          </w14:textFill>
        </w:rPr>
      </w:pPr>
      <w:r>
        <w:rPr>
          <w:rFonts w:ascii="Times New Roman" w:hAnsi="Times New Roman" w:eastAsia="黑体" w:cs="Times New Roman"/>
          <w:b w:val="0"/>
          <w:bCs w:val="0"/>
          <w:color w:val="000000" w:themeColor="text1"/>
          <w:lang w:val="en-US"/>
          <w14:textFill>
            <w14:solidFill>
              <w14:schemeClr w14:val="tx1"/>
            </w14:solidFill>
          </w14:textFill>
        </w:rPr>
        <w:t>任务来源</w:t>
      </w:r>
    </w:p>
    <w:p w14:paraId="23E26FB7">
      <w:pPr>
        <w:pStyle w:val="3"/>
        <w:ind w:left="0" w:firstLine="640" w:firstLineChars="200"/>
        <w:rPr>
          <w:rFonts w:ascii="Times New Roman" w:hAnsi="Times New Roman" w:eastAsia="仿宋" w:cs="Times New Roman"/>
          <w:b w:val="0"/>
          <w:bCs w:val="0"/>
          <w:color w:val="000000" w:themeColor="text1"/>
          <w:lang w:val="en-US" w:bidi="ar-SA"/>
          <w14:textFill>
            <w14:solidFill>
              <w14:schemeClr w14:val="tx1"/>
            </w14:solidFill>
          </w14:textFill>
        </w:rPr>
      </w:pPr>
      <w:r>
        <w:rPr>
          <w:rFonts w:ascii="Times New Roman" w:hAnsi="Times New Roman" w:eastAsia="仿宋" w:cs="Times New Roman"/>
          <w:b w:val="0"/>
          <w:bCs w:val="0"/>
          <w:color w:val="000000" w:themeColor="text1"/>
          <w:lang w:val="en-US" w:bidi="ar-SA"/>
          <w14:textFill>
            <w14:solidFill>
              <w14:schemeClr w14:val="tx1"/>
            </w14:solidFill>
          </w14:textFill>
        </w:rPr>
        <w:t>本标准由2023年8月江苏省市场监督管理局发布的《关于下达2023年度江苏省地方标准项目计划的通知》（苏市监标〔2023〕173号）批准立项，项目序号</w:t>
      </w:r>
      <w:r>
        <w:rPr>
          <w:rFonts w:hint="eastAsia" w:ascii="Times New Roman" w:hAnsi="Times New Roman" w:eastAsia="仿宋" w:cs="Times New Roman"/>
          <w:b w:val="0"/>
          <w:bCs w:val="0"/>
          <w:color w:val="000000" w:themeColor="text1"/>
          <w:lang w:val="en-US" w:eastAsia="zh-CN" w:bidi="ar-SA"/>
          <w14:textFill>
            <w14:solidFill>
              <w14:schemeClr w14:val="tx1"/>
            </w14:solidFill>
          </w14:textFill>
        </w:rPr>
        <w:t>29</w:t>
      </w:r>
      <w:r>
        <w:rPr>
          <w:rFonts w:ascii="Times New Roman" w:hAnsi="Times New Roman" w:eastAsia="仿宋" w:cs="Times New Roman"/>
          <w:b w:val="0"/>
          <w:bCs w:val="0"/>
          <w:color w:val="000000" w:themeColor="text1"/>
          <w:lang w:val="en-US" w:bidi="ar-SA"/>
          <w14:textFill>
            <w14:solidFill>
              <w14:schemeClr w14:val="tx1"/>
            </w14:solidFill>
          </w14:textFill>
        </w:rPr>
        <w:t>，立项名称为《</w:t>
      </w:r>
      <w:r>
        <w:rPr>
          <w:rFonts w:hint="eastAsia" w:ascii="Times New Roman" w:hAnsi="Times New Roman" w:eastAsia="仿宋" w:cs="Times New Roman"/>
          <w:b w:val="0"/>
          <w:bCs w:val="0"/>
          <w:color w:val="000000" w:themeColor="text1"/>
          <w:lang w:val="en-US" w:bidi="ar-SA"/>
          <w14:textFill>
            <w14:solidFill>
              <w14:schemeClr w14:val="tx1"/>
            </w14:solidFill>
          </w14:textFill>
        </w:rPr>
        <w:t>认知障碍老年人康复训练服务规范</w:t>
      </w:r>
      <w:r>
        <w:rPr>
          <w:rFonts w:ascii="Times New Roman" w:hAnsi="Times New Roman" w:eastAsia="仿宋" w:cs="Times New Roman"/>
          <w:b w:val="0"/>
          <w:bCs w:val="0"/>
          <w:color w:val="000000" w:themeColor="text1"/>
          <w:lang w:val="en-US" w:bidi="ar-SA"/>
          <w14:textFill>
            <w14:solidFill>
              <w14:schemeClr w14:val="tx1"/>
            </w14:solidFill>
          </w14:textFill>
        </w:rPr>
        <w:t>》，</w:t>
      </w:r>
      <w:r>
        <w:rPr>
          <w:rFonts w:hint="eastAsia" w:ascii="Times New Roman" w:hAnsi="Times New Roman" w:eastAsia="仿宋" w:cs="Times New Roman"/>
          <w:b w:val="0"/>
          <w:bCs w:val="0"/>
          <w:color w:val="000000" w:themeColor="text1"/>
          <w:lang w:val="en-US" w:eastAsia="zh-CN" w:bidi="ar-SA"/>
          <w14:textFill>
            <w14:solidFill>
              <w14:schemeClr w14:val="tx1"/>
            </w14:solidFill>
          </w14:textFill>
        </w:rPr>
        <w:t>标准起草单位</w:t>
      </w:r>
      <w:r>
        <w:rPr>
          <w:rFonts w:ascii="Times New Roman" w:hAnsi="Times New Roman" w:eastAsia="仿宋" w:cs="Times New Roman"/>
          <w:b w:val="0"/>
          <w:bCs w:val="0"/>
          <w:color w:val="000000" w:themeColor="text1"/>
          <w:lang w:val="en-US" w:bidi="ar-SA"/>
          <w14:textFill>
            <w14:solidFill>
              <w14:schemeClr w14:val="tx1"/>
            </w14:solidFill>
          </w14:textFill>
        </w:rPr>
        <w:t>为</w:t>
      </w:r>
      <w:r>
        <w:rPr>
          <w:rFonts w:hint="eastAsia" w:ascii="Times New Roman" w:hAnsi="Times New Roman" w:eastAsia="仿宋" w:cs="Times New Roman"/>
          <w:b w:val="0"/>
          <w:bCs w:val="0"/>
          <w:color w:val="000000" w:themeColor="text1"/>
          <w:lang w:val="en-US" w:bidi="ar-SA"/>
          <w14:textFill>
            <w14:solidFill>
              <w14:schemeClr w14:val="tx1"/>
            </w14:solidFill>
          </w14:textFill>
        </w:rPr>
        <w:t>江苏省质量和标准化研究院、无锡市新吴区人民政府江溪街道办事处、江苏康乐年华企业管理咨询有限公司、苏州市健康养老产业发展集团有限公司、无锡市新吴区江溪夕阳红休养中心</w:t>
      </w:r>
      <w:r>
        <w:rPr>
          <w:rFonts w:ascii="Times New Roman" w:hAnsi="Times New Roman" w:eastAsia="仿宋" w:cs="Times New Roman"/>
          <w:b w:val="0"/>
          <w:bCs w:val="0"/>
          <w:color w:val="000000" w:themeColor="text1"/>
          <w:lang w:val="en-US" w:bidi="ar-SA"/>
          <w14:textFill>
            <w14:solidFill>
              <w14:schemeClr w14:val="tx1"/>
            </w14:solidFill>
          </w14:textFill>
        </w:rPr>
        <w:t>。</w:t>
      </w:r>
    </w:p>
    <w:p w14:paraId="0711BDA2">
      <w:pPr>
        <w:pStyle w:val="3"/>
        <w:numPr>
          <w:ilvl w:val="0"/>
          <w:numId w:val="2"/>
        </w:numPr>
        <w:ind w:left="0"/>
        <w:rPr>
          <w:rFonts w:ascii="Times New Roman" w:hAnsi="Times New Roman" w:eastAsia="黑体" w:cs="Times New Roman"/>
          <w:b w:val="0"/>
          <w:bCs w:val="0"/>
          <w:color w:val="000000" w:themeColor="text1"/>
          <w:lang w:val="en-US"/>
          <w14:textFill>
            <w14:solidFill>
              <w14:schemeClr w14:val="tx1"/>
            </w14:solidFill>
          </w14:textFill>
        </w:rPr>
      </w:pPr>
      <w:r>
        <w:rPr>
          <w:rFonts w:ascii="Times New Roman" w:hAnsi="Times New Roman" w:eastAsia="黑体" w:cs="Times New Roman"/>
          <w:b w:val="0"/>
          <w:bCs w:val="0"/>
          <w:color w:val="000000" w:themeColor="text1"/>
          <w:lang w:val="en-US"/>
          <w14:textFill>
            <w14:solidFill>
              <w14:schemeClr w14:val="tx1"/>
            </w14:solidFill>
          </w14:textFill>
        </w:rPr>
        <w:t>编制过程</w:t>
      </w:r>
    </w:p>
    <w:p w14:paraId="214E68ED">
      <w:pPr>
        <w:pStyle w:val="3"/>
        <w:numPr>
          <w:ilvl w:val="0"/>
          <w:numId w:val="3"/>
        </w:numPr>
        <w:rPr>
          <w:rFonts w:ascii="Times New Roman" w:hAnsi="Times New Roman" w:eastAsia="楷体" w:cs="Times New Roman"/>
          <w:b w:val="0"/>
          <w:bCs w:val="0"/>
          <w:color w:val="000000" w:themeColor="text1"/>
          <w:lang w:val="en-US"/>
          <w14:textFill>
            <w14:solidFill>
              <w14:schemeClr w14:val="tx1"/>
            </w14:solidFill>
          </w14:textFill>
        </w:rPr>
      </w:pPr>
      <w:r>
        <w:rPr>
          <w:rFonts w:ascii="Times New Roman" w:hAnsi="Times New Roman" w:eastAsia="楷体" w:cs="Times New Roman"/>
          <w:b w:val="0"/>
          <w:bCs w:val="0"/>
          <w:color w:val="000000" w:themeColor="text1"/>
          <w:lang w:val="en-US"/>
          <w14:textFill>
            <w14:solidFill>
              <w14:schemeClr w14:val="tx1"/>
            </w14:solidFill>
          </w14:textFill>
        </w:rPr>
        <w:t>预研阶段</w:t>
      </w:r>
    </w:p>
    <w:p w14:paraId="670AD9A4">
      <w:pPr>
        <w:pStyle w:val="3"/>
        <w:ind w:left="0"/>
        <w:rPr>
          <w:rFonts w:hint="default" w:ascii="Times New Roman" w:hAnsi="Times New Roman" w:eastAsia="楷体" w:cs="Times New Roman"/>
          <w:b w:val="0"/>
          <w:bCs w:val="0"/>
          <w:color w:val="000000" w:themeColor="text1"/>
          <w:lang w:val="en-US" w:eastAsia="zh-CN"/>
          <w14:textFill>
            <w14:solidFill>
              <w14:schemeClr w14:val="tx1"/>
            </w14:solidFill>
          </w14:textFill>
        </w:rPr>
      </w:pPr>
      <w:r>
        <w:rPr>
          <w:rFonts w:ascii="Times New Roman" w:hAnsi="Times New Roman" w:eastAsia="楷体" w:cs="Times New Roman"/>
          <w:b w:val="0"/>
          <w:bCs w:val="0"/>
          <w:color w:val="000000" w:themeColor="text1"/>
          <w:lang w:val="en-US"/>
          <w14:textFill>
            <w14:solidFill>
              <w14:schemeClr w14:val="tx1"/>
            </w14:solidFill>
          </w14:textFill>
        </w:rPr>
        <w:t xml:space="preserve">   </w:t>
      </w:r>
      <w:r>
        <w:rPr>
          <w:rFonts w:hint="eastAsia" w:ascii="仿宋" w:hAnsi="仿宋" w:eastAsia="仿宋" w:cs="仿宋"/>
          <w:b w:val="0"/>
          <w:bCs w:val="0"/>
          <w:color w:val="000000" w:themeColor="text1"/>
          <w:lang w:val="en-US"/>
          <w14:textFill>
            <w14:solidFill>
              <w14:schemeClr w14:val="tx1"/>
            </w14:solidFill>
          </w14:textFill>
        </w:rPr>
        <w:t xml:space="preserve"> </w:t>
      </w:r>
      <w:r>
        <w:rPr>
          <w:rFonts w:hint="default" w:ascii="Times New Roman" w:hAnsi="Times New Roman" w:eastAsia="仿宋" w:cs="Times New Roman"/>
          <w:b w:val="0"/>
          <w:bCs w:val="0"/>
          <w:color w:val="000000" w:themeColor="text1"/>
          <w:lang w:val="en-US" w:eastAsia="zh-CN"/>
          <w14:textFill>
            <w14:solidFill>
              <w14:schemeClr w14:val="tx1"/>
            </w14:solidFill>
          </w14:textFill>
        </w:rPr>
        <w:t>2023年</w:t>
      </w:r>
      <w:r>
        <w:rPr>
          <w:rFonts w:hint="eastAsia" w:ascii="Times New Roman" w:hAnsi="Times New Roman" w:eastAsia="仿宋" w:cs="Times New Roman"/>
          <w:b w:val="0"/>
          <w:bCs w:val="0"/>
          <w:color w:val="000000" w:themeColor="text1"/>
          <w:lang w:val="en-US" w:eastAsia="zh-CN"/>
          <w14:textFill>
            <w14:solidFill>
              <w14:schemeClr w14:val="tx1"/>
            </w14:solidFill>
          </w14:textFill>
        </w:rPr>
        <w:t>1-6月</w:t>
      </w:r>
      <w:r>
        <w:rPr>
          <w:rFonts w:hint="default" w:ascii="Times New Roman" w:hAnsi="Times New Roman" w:eastAsia="仿宋" w:cs="Times New Roman"/>
          <w:b w:val="0"/>
          <w:bCs w:val="0"/>
          <w:color w:val="000000" w:themeColor="text1"/>
          <w:lang w:val="en-US" w:eastAsia="zh-CN"/>
          <w14:textFill>
            <w14:solidFill>
              <w14:schemeClr w14:val="tx1"/>
            </w14:solidFill>
          </w14:textFill>
        </w:rPr>
        <w:t>，江苏省质量和标准化研究院组织人员展开了</w:t>
      </w:r>
      <w:r>
        <w:rPr>
          <w:rFonts w:hint="eastAsia" w:ascii="Times New Roman" w:hAnsi="Times New Roman" w:eastAsia="仿宋" w:cs="Times New Roman"/>
          <w:b w:val="0"/>
          <w:bCs w:val="0"/>
          <w:color w:val="000000" w:themeColor="text1"/>
          <w:lang w:val="en-US" w:bidi="ar-SA"/>
          <w14:textFill>
            <w14:solidFill>
              <w14:schemeClr w14:val="tx1"/>
            </w14:solidFill>
          </w14:textFill>
        </w:rPr>
        <w:t>认知障碍老年人康复训练服务</w:t>
      </w:r>
      <w:r>
        <w:rPr>
          <w:rFonts w:hint="default" w:ascii="Times New Roman" w:hAnsi="Times New Roman" w:eastAsia="仿宋" w:cs="Times New Roman"/>
          <w:b w:val="0"/>
          <w:bCs w:val="0"/>
          <w:color w:val="000000" w:themeColor="text1"/>
          <w:lang w:val="en-US" w:eastAsia="zh-CN"/>
          <w14:textFill>
            <w14:solidFill>
              <w14:schemeClr w14:val="tx1"/>
            </w14:solidFill>
          </w14:textFill>
        </w:rPr>
        <w:t>标准的预研，搜集了省内外相关文献</w:t>
      </w:r>
      <w:r>
        <w:rPr>
          <w:rFonts w:hint="eastAsia" w:ascii="Times New Roman" w:hAnsi="Times New Roman" w:eastAsia="仿宋" w:cs="Times New Roman"/>
          <w:b w:val="0"/>
          <w:bCs w:val="0"/>
          <w:color w:val="000000" w:themeColor="text1"/>
          <w:lang w:val="en-US" w:eastAsia="zh-CN"/>
          <w14:textFill>
            <w14:solidFill>
              <w14:schemeClr w14:val="tx1"/>
            </w14:solidFill>
          </w14:textFill>
        </w:rPr>
        <w:t>、</w:t>
      </w:r>
      <w:r>
        <w:rPr>
          <w:rFonts w:hint="default" w:ascii="Times New Roman" w:hAnsi="Times New Roman" w:eastAsia="仿宋" w:cs="Times New Roman"/>
          <w:b w:val="0"/>
          <w:bCs w:val="0"/>
          <w:color w:val="000000" w:themeColor="text1"/>
          <w:lang w:val="en-US" w:eastAsia="zh-CN"/>
          <w14:textFill>
            <w14:solidFill>
              <w14:schemeClr w14:val="tx1"/>
            </w14:solidFill>
          </w14:textFill>
        </w:rPr>
        <w:t>标准，</w:t>
      </w:r>
      <w:r>
        <w:rPr>
          <w:rFonts w:hint="eastAsia" w:ascii="Times New Roman" w:hAnsi="Times New Roman" w:eastAsia="仿宋" w:cs="Times New Roman"/>
          <w:b w:val="0"/>
          <w:bCs w:val="0"/>
          <w:color w:val="000000" w:themeColor="text1"/>
          <w:lang w:val="en-US" w:eastAsia="zh-CN"/>
          <w14:textFill>
            <w14:solidFill>
              <w14:schemeClr w14:val="tx1"/>
            </w14:solidFill>
          </w14:textFill>
        </w:rPr>
        <w:t>确立了标准申报名称，形成</w:t>
      </w:r>
      <w:r>
        <w:rPr>
          <w:rFonts w:hint="default" w:ascii="Times New Roman" w:hAnsi="Times New Roman" w:eastAsia="仿宋" w:cs="Times New Roman"/>
          <w:b w:val="0"/>
          <w:bCs w:val="0"/>
          <w:color w:val="000000" w:themeColor="text1"/>
          <w:lang w:val="en-US" w:eastAsia="zh-CN"/>
          <w14:textFill>
            <w14:solidFill>
              <w14:schemeClr w14:val="tx1"/>
            </w14:solidFill>
          </w14:textFill>
        </w:rPr>
        <w:t>了标准申报草案初稿</w:t>
      </w:r>
      <w:r>
        <w:rPr>
          <w:rFonts w:hint="eastAsia" w:ascii="Times New Roman" w:hAnsi="Times New Roman" w:eastAsia="仿宋" w:cs="Times New Roman"/>
          <w:b w:val="0"/>
          <w:bCs w:val="0"/>
          <w:color w:val="000000" w:themeColor="text1"/>
          <w:lang w:val="en-US" w:eastAsia="zh-CN"/>
          <w14:textFill>
            <w14:solidFill>
              <w14:schemeClr w14:val="tx1"/>
            </w14:solidFill>
          </w14:textFill>
        </w:rPr>
        <w:t>。</w:t>
      </w:r>
    </w:p>
    <w:p w14:paraId="22A865C2">
      <w:pPr>
        <w:pStyle w:val="3"/>
        <w:numPr>
          <w:ilvl w:val="0"/>
          <w:numId w:val="3"/>
        </w:numPr>
        <w:rPr>
          <w:rFonts w:ascii="Times New Roman" w:hAnsi="Times New Roman" w:eastAsia="楷体" w:cs="Times New Roman"/>
          <w:b w:val="0"/>
          <w:bCs w:val="0"/>
          <w:color w:val="000000" w:themeColor="text1"/>
          <w:lang w:val="en-US"/>
          <w14:textFill>
            <w14:solidFill>
              <w14:schemeClr w14:val="tx1"/>
            </w14:solidFill>
          </w14:textFill>
        </w:rPr>
      </w:pPr>
      <w:r>
        <w:rPr>
          <w:rFonts w:ascii="Times New Roman" w:hAnsi="Times New Roman" w:eastAsia="楷体" w:cs="Times New Roman"/>
          <w:b w:val="0"/>
          <w:bCs w:val="0"/>
          <w:color w:val="000000" w:themeColor="text1"/>
          <w:lang w:val="en-US"/>
          <w14:textFill>
            <w14:solidFill>
              <w14:schemeClr w14:val="tx1"/>
            </w14:solidFill>
          </w14:textFill>
        </w:rPr>
        <w:t>立项</w:t>
      </w:r>
    </w:p>
    <w:p w14:paraId="2131D218">
      <w:pPr>
        <w:pStyle w:val="3"/>
        <w:ind w:left="0" w:firstLine="640" w:firstLineChars="200"/>
        <w:rPr>
          <w:rFonts w:ascii="Times New Roman" w:hAnsi="Times New Roman" w:eastAsia="仿宋" w:cs="Times New Roman"/>
          <w:b w:val="0"/>
          <w:bCs w:val="0"/>
          <w:color w:val="000000" w:themeColor="text1"/>
          <w:lang w:val="en-US"/>
          <w14:textFill>
            <w14:solidFill>
              <w14:schemeClr w14:val="tx1"/>
            </w14:solidFill>
          </w14:textFill>
        </w:rPr>
      </w:pPr>
      <w:r>
        <w:rPr>
          <w:rFonts w:ascii="Times New Roman" w:hAnsi="Times New Roman" w:eastAsia="仿宋" w:cs="Times New Roman"/>
          <w:b w:val="0"/>
          <w:bCs w:val="0"/>
          <w:color w:val="000000" w:themeColor="text1"/>
          <w14:textFill>
            <w14:solidFill>
              <w14:schemeClr w14:val="tx1"/>
            </w14:solidFill>
          </w14:textFill>
        </w:rPr>
        <w:t>2023年8月，本标准通过江苏省市场监督管理局立项审查,予以正式立项。</w:t>
      </w:r>
    </w:p>
    <w:p w14:paraId="0965EE6C">
      <w:pPr>
        <w:pStyle w:val="3"/>
        <w:numPr>
          <w:ilvl w:val="0"/>
          <w:numId w:val="3"/>
        </w:numPr>
        <w:rPr>
          <w:rFonts w:ascii="Times New Roman" w:hAnsi="Times New Roman" w:eastAsia="楷体" w:cs="Times New Roman"/>
          <w:b w:val="0"/>
          <w:bCs w:val="0"/>
          <w:color w:val="000000" w:themeColor="text1"/>
          <w:lang w:val="en-US"/>
          <w14:textFill>
            <w14:solidFill>
              <w14:schemeClr w14:val="tx1"/>
            </w14:solidFill>
          </w14:textFill>
        </w:rPr>
      </w:pPr>
      <w:r>
        <w:rPr>
          <w:rFonts w:ascii="Times New Roman" w:hAnsi="Times New Roman" w:eastAsia="楷体" w:cs="Times New Roman"/>
          <w:b w:val="0"/>
          <w:bCs w:val="0"/>
          <w:color w:val="000000" w:themeColor="text1"/>
          <w:lang w:val="en-US"/>
          <w14:textFill>
            <w14:solidFill>
              <w14:schemeClr w14:val="tx1"/>
            </w14:solidFill>
          </w14:textFill>
        </w:rPr>
        <w:t>草案阶段</w:t>
      </w:r>
    </w:p>
    <w:p w14:paraId="456AD699">
      <w:pPr>
        <w:pStyle w:val="3"/>
        <w:ind w:left="0" w:firstLine="640" w:firstLineChars="200"/>
        <w:rPr>
          <w:rFonts w:ascii="Times New Roman" w:hAnsi="Times New Roman" w:eastAsia="仿宋" w:cs="Times New Roman"/>
          <w:b w:val="0"/>
          <w:bCs w:val="0"/>
          <w:color w:val="000000" w:themeColor="text1"/>
          <w:lang w:val="en-US"/>
          <w14:textFill>
            <w14:solidFill>
              <w14:schemeClr w14:val="tx1"/>
            </w14:solidFill>
          </w14:textFill>
        </w:rPr>
      </w:pPr>
      <w:r>
        <w:rPr>
          <w:rFonts w:ascii="Times New Roman" w:hAnsi="Times New Roman" w:eastAsia="仿宋" w:cs="Times New Roman"/>
          <w:b w:val="0"/>
          <w:bCs w:val="0"/>
          <w:color w:val="000000" w:themeColor="text1"/>
          <w:lang w:val="en-US"/>
          <w14:textFill>
            <w14:solidFill>
              <w14:schemeClr w14:val="tx1"/>
            </w14:solidFill>
          </w14:textFill>
        </w:rPr>
        <w:t>2023年8月：</w:t>
      </w:r>
      <w:r>
        <w:rPr>
          <w:rFonts w:hint="eastAsia" w:ascii="Times New Roman" w:hAnsi="Times New Roman" w:eastAsia="仿宋" w:cs="Times New Roman"/>
          <w:b w:val="0"/>
          <w:bCs w:val="0"/>
          <w:color w:val="000000" w:themeColor="text1"/>
          <w:lang w:val="en-US" w:bidi="ar-SA"/>
          <w14:textFill>
            <w14:solidFill>
              <w14:schemeClr w14:val="tx1"/>
            </w14:solidFill>
          </w14:textFill>
        </w:rPr>
        <w:t>江苏省质量和标准化研究院、无锡市新吴区人民政府江溪街道办事处、江苏康乐年华企业管理咨询有限公司、</w:t>
      </w:r>
      <w:r>
        <w:rPr>
          <w:rFonts w:hint="eastAsia" w:ascii="Times New Roman" w:hAnsi="Times New Roman" w:eastAsia="仿宋" w:cs="Times New Roman"/>
          <w:b w:val="0"/>
          <w:bCs w:val="0"/>
          <w:color w:val="000000" w:themeColor="text1"/>
          <w:lang w:val="en-US" w:eastAsia="zh-CN" w:bidi="ar-SA"/>
          <w14:textFill>
            <w14:solidFill>
              <w14:schemeClr w14:val="tx1"/>
            </w14:solidFill>
          </w14:textFill>
        </w:rPr>
        <w:t>无锡市新吴区江溪夕阳红休养中心</w:t>
      </w:r>
      <w:r>
        <w:rPr>
          <w:rFonts w:ascii="Times New Roman" w:hAnsi="Times New Roman" w:eastAsia="仿宋" w:cs="Times New Roman"/>
          <w:b w:val="0"/>
          <w:bCs w:val="0"/>
          <w:color w:val="000000" w:themeColor="text1"/>
          <w:lang w:val="en-US"/>
          <w14:textFill>
            <w14:solidFill>
              <w14:schemeClr w14:val="tx1"/>
            </w14:solidFill>
          </w14:textFill>
        </w:rPr>
        <w:t>共同成立标准起草组。</w:t>
      </w:r>
    </w:p>
    <w:p w14:paraId="72D7D184">
      <w:pPr>
        <w:pStyle w:val="3"/>
        <w:ind w:left="0" w:firstLine="640" w:firstLineChars="200"/>
        <w:rPr>
          <w:rFonts w:ascii="Times New Roman" w:hAnsi="Times New Roman" w:eastAsia="仿宋" w:cs="Times New Roman"/>
          <w:b w:val="0"/>
          <w:bCs w:val="0"/>
          <w:color w:val="000000" w:themeColor="text1"/>
          <w:lang w:val="en-US"/>
          <w14:textFill>
            <w14:solidFill>
              <w14:schemeClr w14:val="tx1"/>
            </w14:solidFill>
          </w14:textFill>
        </w:rPr>
      </w:pPr>
      <w:r>
        <w:rPr>
          <w:rFonts w:ascii="Times New Roman" w:hAnsi="Times New Roman" w:eastAsia="仿宋" w:cs="Times New Roman"/>
          <w:b w:val="0"/>
          <w:bCs w:val="0"/>
          <w:color w:val="000000" w:themeColor="text1"/>
          <w:lang w:val="en-US"/>
          <w14:textFill>
            <w14:solidFill>
              <w14:schemeClr w14:val="tx1"/>
            </w14:solidFill>
          </w14:textFill>
        </w:rPr>
        <w:t>2023年8月-10月：起草组</w:t>
      </w:r>
      <w:r>
        <w:rPr>
          <w:rFonts w:ascii="Times New Roman" w:hAnsi="Times New Roman" w:eastAsia="仿宋" w:cs="Times New Roman"/>
          <w:b w:val="0"/>
          <w:bCs w:val="0"/>
          <w:color w:val="000000" w:themeColor="text1"/>
          <w:highlight w:val="none"/>
          <w:lang w:val="en-US"/>
          <w14:textFill>
            <w14:solidFill>
              <w14:schemeClr w14:val="tx1"/>
            </w14:solidFill>
          </w14:textFill>
        </w:rPr>
        <w:t>前往</w:t>
      </w:r>
      <w:r>
        <w:rPr>
          <w:rFonts w:hint="eastAsia" w:ascii="Times New Roman" w:hAnsi="Times New Roman" w:eastAsia="仿宋" w:cs="Times New Roman"/>
          <w:b w:val="0"/>
          <w:bCs w:val="0"/>
          <w:color w:val="000000" w:themeColor="text1"/>
          <w:highlight w:val="none"/>
          <w:lang w:val="en-US"/>
          <w14:textFill>
            <w14:solidFill>
              <w14:schemeClr w14:val="tx1"/>
            </w14:solidFill>
          </w14:textFill>
        </w:rPr>
        <w:t>欧葆庭（上海）投资有限公司</w:t>
      </w:r>
      <w:r>
        <w:rPr>
          <w:rFonts w:hint="eastAsia" w:ascii="Times New Roman" w:hAnsi="Times New Roman" w:eastAsia="仿宋" w:cs="Times New Roman"/>
          <w:b w:val="0"/>
          <w:bCs w:val="0"/>
          <w:color w:val="000000" w:themeColor="text1"/>
          <w:highlight w:val="none"/>
          <w:lang w:val="en-US" w:eastAsia="zh-CN"/>
          <w14:textFill>
            <w14:solidFill>
              <w14:schemeClr w14:val="tx1"/>
            </w14:solidFill>
          </w14:textFill>
        </w:rPr>
        <w:t>、</w:t>
      </w:r>
      <w:r>
        <w:rPr>
          <w:rFonts w:hint="eastAsia" w:ascii="Times New Roman" w:hAnsi="Times New Roman" w:eastAsia="仿宋" w:cs="Times New Roman"/>
          <w:b w:val="0"/>
          <w:bCs w:val="0"/>
          <w:color w:val="000000" w:themeColor="text1"/>
          <w:highlight w:val="none"/>
          <w:lang w:val="en-US"/>
          <w14:textFill>
            <w14:solidFill>
              <w14:schemeClr w14:val="tx1"/>
            </w14:solidFill>
          </w14:textFill>
        </w:rPr>
        <w:t>苏州市苏康养养老运营管理有限公司</w:t>
      </w:r>
      <w:r>
        <w:rPr>
          <w:rFonts w:hint="eastAsia" w:ascii="Times New Roman" w:hAnsi="Times New Roman" w:eastAsia="仿宋" w:cs="Times New Roman"/>
          <w:b w:val="0"/>
          <w:bCs w:val="0"/>
          <w:color w:val="000000" w:themeColor="text1"/>
          <w:highlight w:val="none"/>
          <w:lang w:val="en-US" w:eastAsia="zh-CN"/>
          <w14:textFill>
            <w14:solidFill>
              <w14:schemeClr w14:val="tx1"/>
            </w14:solidFill>
          </w14:textFill>
        </w:rPr>
        <w:t>、夕阳红休养中心开展认知障碍老年人照护及康复训练</w:t>
      </w:r>
      <w:r>
        <w:rPr>
          <w:rFonts w:ascii="Times New Roman" w:hAnsi="Times New Roman" w:eastAsia="仿宋" w:cs="Times New Roman"/>
          <w:b w:val="0"/>
          <w:bCs w:val="0"/>
          <w:color w:val="000000" w:themeColor="text1"/>
          <w:highlight w:val="none"/>
          <w:lang w:val="en-US"/>
          <w14:textFill>
            <w14:solidFill>
              <w14:schemeClr w14:val="tx1"/>
            </w14:solidFill>
          </w14:textFill>
        </w:rPr>
        <w:t>调研</w:t>
      </w:r>
      <w:r>
        <w:rPr>
          <w:rFonts w:ascii="Times New Roman" w:hAnsi="Times New Roman" w:eastAsia="仿宋" w:cs="Times New Roman"/>
          <w:b w:val="0"/>
          <w:bCs w:val="0"/>
          <w:color w:val="000000" w:themeColor="text1"/>
          <w:lang w:val="en-US"/>
          <w14:textFill>
            <w14:solidFill>
              <w14:schemeClr w14:val="tx1"/>
            </w14:solidFill>
          </w14:textFill>
        </w:rPr>
        <w:t>，经</w:t>
      </w:r>
      <w:r>
        <w:rPr>
          <w:rFonts w:hint="eastAsia" w:ascii="Times New Roman" w:hAnsi="Times New Roman" w:eastAsia="仿宋" w:cs="Times New Roman"/>
          <w:b w:val="0"/>
          <w:bCs w:val="0"/>
          <w:color w:val="000000" w:themeColor="text1"/>
          <w:lang w:val="en-US" w:eastAsia="zh-CN"/>
          <w14:textFill>
            <w14:solidFill>
              <w14:schemeClr w14:val="tx1"/>
            </w14:solidFill>
          </w14:textFill>
        </w:rPr>
        <w:t>工作组</w:t>
      </w:r>
      <w:r>
        <w:rPr>
          <w:rFonts w:ascii="Times New Roman" w:hAnsi="Times New Roman" w:eastAsia="仿宋" w:cs="Times New Roman"/>
          <w:b w:val="0"/>
          <w:bCs w:val="0"/>
          <w:color w:val="000000" w:themeColor="text1"/>
          <w:lang w:val="en-US"/>
          <w14:textFill>
            <w14:solidFill>
              <w14:schemeClr w14:val="tx1"/>
            </w14:solidFill>
          </w14:textFill>
        </w:rPr>
        <w:t>内部讨论，对标准草案进行了修改和完善，形成标准</w:t>
      </w:r>
      <w:r>
        <w:rPr>
          <w:rFonts w:hint="eastAsia" w:ascii="Times New Roman" w:hAnsi="Times New Roman" w:eastAsia="仿宋" w:cs="Times New Roman"/>
          <w:b w:val="0"/>
          <w:bCs w:val="0"/>
          <w:color w:val="000000" w:themeColor="text1"/>
          <w:lang w:val="en-US" w:eastAsia="zh-CN"/>
          <w14:textFill>
            <w14:solidFill>
              <w14:schemeClr w14:val="tx1"/>
            </w14:solidFill>
          </w14:textFill>
        </w:rPr>
        <w:t>工作组讨论稿（1稿）</w:t>
      </w:r>
      <w:r>
        <w:rPr>
          <w:rFonts w:ascii="Times New Roman" w:hAnsi="Times New Roman" w:eastAsia="仿宋" w:cs="Times New Roman"/>
          <w:b w:val="0"/>
          <w:bCs w:val="0"/>
          <w:color w:val="000000" w:themeColor="text1"/>
          <w:lang w:val="en-US"/>
          <w14:textFill>
            <w14:solidFill>
              <w14:schemeClr w14:val="tx1"/>
            </w14:solidFill>
          </w14:textFill>
        </w:rPr>
        <w:t>。</w:t>
      </w:r>
    </w:p>
    <w:p w14:paraId="55759583">
      <w:pPr>
        <w:pStyle w:val="3"/>
        <w:ind w:left="0" w:firstLine="640"/>
        <w:rPr>
          <w:rFonts w:ascii="Times New Roman" w:hAnsi="Times New Roman" w:eastAsia="仿宋" w:cs="Times New Roman"/>
          <w:b w:val="0"/>
          <w:bCs w:val="0"/>
          <w:color w:val="000000" w:themeColor="text1"/>
          <w:lang w:val="en-US"/>
          <w14:textFill>
            <w14:solidFill>
              <w14:schemeClr w14:val="tx1"/>
            </w14:solidFill>
          </w14:textFill>
        </w:rPr>
      </w:pPr>
      <w:r>
        <w:rPr>
          <w:rFonts w:hint="eastAsia" w:ascii="Times New Roman" w:hAnsi="Times New Roman" w:eastAsia="仿宋" w:cs="Times New Roman"/>
          <w:b w:val="0"/>
          <w:bCs w:val="0"/>
          <w:color w:val="000000" w:themeColor="text1"/>
          <w:lang w:val="en-US"/>
          <w14:textFill>
            <w14:solidFill>
              <w14:schemeClr w14:val="tx1"/>
            </w14:solidFill>
          </w14:textFill>
        </w:rPr>
        <w:t>2023年11月28日</w:t>
      </w:r>
      <w:r>
        <w:rPr>
          <w:rFonts w:ascii="Times New Roman" w:hAnsi="Times New Roman" w:eastAsia="仿宋" w:cs="Times New Roman"/>
          <w:b w:val="0"/>
          <w:bCs w:val="0"/>
          <w:color w:val="000000" w:themeColor="text1"/>
          <w:lang w:val="en-US"/>
          <w14:textFill>
            <w14:solidFill>
              <w14:schemeClr w14:val="tx1"/>
            </w14:solidFill>
          </w14:textFill>
        </w:rPr>
        <w:t>：起草组组织在南京召开了</w:t>
      </w:r>
      <w:r>
        <w:rPr>
          <w:rFonts w:hint="eastAsia" w:ascii="Times New Roman" w:hAnsi="Times New Roman" w:eastAsia="仿宋" w:cs="Times New Roman"/>
          <w:b w:val="0"/>
          <w:bCs w:val="0"/>
          <w:color w:val="000000" w:themeColor="text1"/>
          <w:lang w:val="en-US" w:eastAsia="zh-CN"/>
          <w14:textFill>
            <w14:solidFill>
              <w14:schemeClr w14:val="tx1"/>
            </w14:solidFill>
          </w14:textFill>
        </w:rPr>
        <w:t>首次标准研讨会</w:t>
      </w:r>
      <w:r>
        <w:rPr>
          <w:rFonts w:ascii="Times New Roman" w:hAnsi="Times New Roman" w:eastAsia="仿宋" w:cs="Times New Roman"/>
          <w:b w:val="0"/>
          <w:bCs w:val="0"/>
          <w:color w:val="000000" w:themeColor="text1"/>
          <w:lang w:val="en-US"/>
          <w14:textFill>
            <w14:solidFill>
              <w14:schemeClr w14:val="tx1"/>
            </w14:solidFill>
          </w14:textFill>
        </w:rPr>
        <w:t>。会议邀请了</w:t>
      </w:r>
      <w:r>
        <w:rPr>
          <w:rFonts w:hint="eastAsia" w:ascii="Times New Roman" w:hAnsi="Times New Roman" w:eastAsia="仿宋" w:cs="Times New Roman"/>
          <w:b w:val="0"/>
          <w:bCs w:val="0"/>
          <w:color w:val="000000" w:themeColor="text1"/>
          <w:lang w:val="en-US"/>
          <w14:textFill>
            <w14:solidFill>
              <w14:schemeClr w14:val="tx1"/>
            </w14:solidFill>
          </w14:textFill>
        </w:rPr>
        <w:t>江苏省社会福利协会</w:t>
      </w:r>
      <w:r>
        <w:rPr>
          <w:rFonts w:hint="eastAsia" w:ascii="Times New Roman" w:hAnsi="Times New Roman" w:eastAsia="仿宋" w:cs="Times New Roman"/>
          <w:b w:val="0"/>
          <w:bCs w:val="0"/>
          <w:color w:val="000000" w:themeColor="text1"/>
          <w:lang w:val="en-US" w:eastAsia="zh-CN"/>
          <w14:textFill>
            <w14:solidFill>
              <w14:schemeClr w14:val="tx1"/>
            </w14:solidFill>
          </w14:textFill>
        </w:rPr>
        <w:t>、</w:t>
      </w:r>
      <w:r>
        <w:rPr>
          <w:rFonts w:hint="eastAsia" w:ascii="Times New Roman" w:hAnsi="Times New Roman" w:eastAsia="仿宋" w:cs="Times New Roman"/>
          <w:b w:val="0"/>
          <w:bCs w:val="0"/>
          <w:color w:val="000000" w:themeColor="text1"/>
          <w:lang w:val="en-US"/>
          <w14:textFill>
            <w14:solidFill>
              <w14:schemeClr w14:val="tx1"/>
            </w14:solidFill>
          </w14:textFill>
        </w:rPr>
        <w:t>江苏省民政厅养老服务处</w:t>
      </w:r>
      <w:r>
        <w:rPr>
          <w:rFonts w:hint="eastAsia" w:ascii="Times New Roman" w:hAnsi="Times New Roman" w:eastAsia="仿宋" w:cs="Times New Roman"/>
          <w:b w:val="0"/>
          <w:bCs w:val="0"/>
          <w:color w:val="000000" w:themeColor="text1"/>
          <w:lang w:val="en-US" w:eastAsia="zh-CN"/>
          <w14:textFill>
            <w14:solidFill>
              <w14:schemeClr w14:val="tx1"/>
            </w14:solidFill>
          </w14:textFill>
        </w:rPr>
        <w:t>、</w:t>
      </w:r>
      <w:r>
        <w:rPr>
          <w:rFonts w:hint="eastAsia" w:ascii="Times New Roman" w:hAnsi="Times New Roman" w:eastAsia="仿宋" w:cs="Times New Roman"/>
          <w:b w:val="0"/>
          <w:bCs w:val="0"/>
          <w:color w:val="000000" w:themeColor="text1"/>
          <w:lang w:val="en-US"/>
          <w14:textFill>
            <w14:solidFill>
              <w14:schemeClr w14:val="tx1"/>
            </w14:solidFill>
          </w14:textFill>
        </w:rPr>
        <w:t>江苏省老年病医院</w:t>
      </w:r>
      <w:r>
        <w:rPr>
          <w:rFonts w:hint="eastAsia" w:ascii="Times New Roman" w:hAnsi="Times New Roman" w:eastAsia="仿宋" w:cs="Times New Roman"/>
          <w:b w:val="0"/>
          <w:bCs w:val="0"/>
          <w:color w:val="000000" w:themeColor="text1"/>
          <w:lang w:val="en-US" w:eastAsia="zh-CN"/>
          <w14:textFill>
            <w14:solidFill>
              <w14:schemeClr w14:val="tx1"/>
            </w14:solidFill>
          </w14:textFill>
        </w:rPr>
        <w:t>、</w:t>
      </w:r>
      <w:r>
        <w:rPr>
          <w:rFonts w:hint="eastAsia" w:ascii="Times New Roman" w:hAnsi="Times New Roman" w:eastAsia="仿宋" w:cs="Times New Roman"/>
          <w:b w:val="0"/>
          <w:bCs w:val="0"/>
          <w:color w:val="000000" w:themeColor="text1"/>
          <w:lang w:val="en-US"/>
          <w14:textFill>
            <w14:solidFill>
              <w14:schemeClr w14:val="tx1"/>
            </w14:solidFill>
          </w14:textFill>
        </w:rPr>
        <w:t>南京江宁沐春园护理院</w:t>
      </w:r>
      <w:r>
        <w:rPr>
          <w:rFonts w:hint="eastAsia" w:ascii="Times New Roman" w:hAnsi="Times New Roman" w:eastAsia="仿宋" w:cs="Times New Roman"/>
          <w:b w:val="0"/>
          <w:bCs w:val="0"/>
          <w:color w:val="000000" w:themeColor="text1"/>
          <w:lang w:val="en-US" w:eastAsia="zh-CN"/>
          <w14:textFill>
            <w14:solidFill>
              <w14:schemeClr w14:val="tx1"/>
            </w14:solidFill>
          </w14:textFill>
        </w:rPr>
        <w:t>、</w:t>
      </w:r>
      <w:r>
        <w:rPr>
          <w:rFonts w:hint="eastAsia" w:ascii="Times New Roman" w:hAnsi="Times New Roman" w:eastAsia="仿宋" w:cs="Times New Roman"/>
          <w:b w:val="0"/>
          <w:bCs w:val="0"/>
          <w:color w:val="000000" w:themeColor="text1"/>
          <w:lang w:val="en-US"/>
          <w14:textFill>
            <w14:solidFill>
              <w14:schemeClr w14:val="tx1"/>
            </w14:solidFill>
          </w14:textFill>
        </w:rPr>
        <w:t>常州市福利院</w:t>
      </w:r>
      <w:r>
        <w:rPr>
          <w:rFonts w:hint="eastAsia" w:ascii="Times New Roman" w:hAnsi="Times New Roman" w:eastAsia="仿宋" w:cs="Times New Roman"/>
          <w:b w:val="0"/>
          <w:bCs w:val="0"/>
          <w:color w:val="000000" w:themeColor="text1"/>
          <w:lang w:val="en-US" w:eastAsia="zh-CN"/>
          <w14:textFill>
            <w14:solidFill>
              <w14:schemeClr w14:val="tx1"/>
            </w14:solidFill>
          </w14:textFill>
        </w:rPr>
        <w:t>、</w:t>
      </w:r>
      <w:r>
        <w:rPr>
          <w:rFonts w:hint="eastAsia" w:ascii="Times New Roman" w:hAnsi="Times New Roman" w:eastAsia="仿宋" w:cs="Times New Roman"/>
          <w:b w:val="0"/>
          <w:bCs w:val="0"/>
          <w:color w:val="000000" w:themeColor="text1"/>
          <w:lang w:val="en-US"/>
          <w14:textFill>
            <w14:solidFill>
              <w14:schemeClr w14:val="tx1"/>
            </w14:solidFill>
          </w14:textFill>
        </w:rPr>
        <w:t>如皋申丞护理院有限公司</w:t>
      </w:r>
      <w:r>
        <w:rPr>
          <w:rFonts w:ascii="Times New Roman" w:hAnsi="Times New Roman" w:eastAsia="仿宋" w:cs="Times New Roman"/>
          <w:b w:val="0"/>
          <w:bCs w:val="0"/>
          <w:color w:val="000000" w:themeColor="text1"/>
          <w:lang w:val="en-US"/>
          <w14:textFill>
            <w14:solidFill>
              <w14:schemeClr w14:val="tx1"/>
            </w14:solidFill>
          </w14:textFill>
        </w:rPr>
        <w:t>的专家参会。与会专家覆盖</w:t>
      </w:r>
      <w:r>
        <w:rPr>
          <w:rFonts w:hint="eastAsia" w:ascii="Times New Roman" w:hAnsi="Times New Roman" w:eastAsia="仿宋" w:cs="Times New Roman"/>
          <w:b w:val="0"/>
          <w:bCs w:val="0"/>
          <w:color w:val="000000" w:themeColor="text1"/>
          <w:lang w:val="en-US" w:eastAsia="zh-CN"/>
          <w14:textFill>
            <w14:solidFill>
              <w14:schemeClr w14:val="tx1"/>
            </w14:solidFill>
          </w14:textFill>
        </w:rPr>
        <w:t>民政主管部门、养老服务领域、老年病领域的专业</w:t>
      </w:r>
      <w:r>
        <w:rPr>
          <w:rFonts w:ascii="Times New Roman" w:hAnsi="Times New Roman" w:eastAsia="仿宋" w:cs="Times New Roman"/>
          <w:b w:val="0"/>
          <w:bCs w:val="0"/>
          <w:color w:val="000000" w:themeColor="text1"/>
          <w:lang w:val="en-US"/>
          <w14:textFill>
            <w14:solidFill>
              <w14:schemeClr w14:val="tx1"/>
            </w14:solidFill>
          </w14:textFill>
        </w:rPr>
        <w:t>人员，具备</w:t>
      </w:r>
      <w:r>
        <w:rPr>
          <w:rFonts w:hint="eastAsia" w:ascii="Times New Roman" w:hAnsi="Times New Roman" w:eastAsia="仿宋" w:cs="Times New Roman"/>
          <w:b w:val="0"/>
          <w:bCs w:val="0"/>
          <w:color w:val="000000" w:themeColor="text1"/>
          <w:lang w:val="en-US" w:eastAsia="zh-CN"/>
          <w14:textFill>
            <w14:solidFill>
              <w14:schemeClr w14:val="tx1"/>
            </w14:solidFill>
          </w14:textFill>
        </w:rPr>
        <w:t>全面性和</w:t>
      </w:r>
      <w:r>
        <w:rPr>
          <w:rFonts w:ascii="Times New Roman" w:hAnsi="Times New Roman" w:eastAsia="仿宋" w:cs="Times New Roman"/>
          <w:b w:val="0"/>
          <w:bCs w:val="0"/>
          <w:color w:val="000000" w:themeColor="text1"/>
          <w:lang w:val="en-US"/>
          <w14:textFill>
            <w14:solidFill>
              <w14:schemeClr w14:val="tx1"/>
            </w14:solidFill>
          </w14:textFill>
        </w:rPr>
        <w:t>代表性。会上专家对标准进行了深入讨论，提出</w:t>
      </w:r>
      <w:r>
        <w:rPr>
          <w:rFonts w:hint="eastAsia" w:ascii="Times New Roman" w:hAnsi="Times New Roman" w:eastAsia="仿宋" w:cs="Times New Roman"/>
          <w:b w:val="0"/>
          <w:bCs w:val="0"/>
          <w:color w:val="000000" w:themeColor="text1"/>
          <w:lang w:val="en-US" w:eastAsia="zh-CN"/>
          <w14:textFill>
            <w14:solidFill>
              <w14:schemeClr w14:val="tx1"/>
            </w14:solidFill>
          </w14:textFill>
        </w:rPr>
        <w:t>“标准应突出认知障碍老年人的康复训练特点”等</w:t>
      </w:r>
      <w:r>
        <w:rPr>
          <w:rFonts w:ascii="Times New Roman" w:hAnsi="Times New Roman" w:eastAsia="仿宋" w:cs="Times New Roman"/>
          <w:b w:val="0"/>
          <w:bCs w:val="0"/>
          <w:color w:val="000000" w:themeColor="text1"/>
          <w:lang w:val="en-US"/>
          <w14:textFill>
            <w14:solidFill>
              <w14:schemeClr w14:val="tx1"/>
            </w14:solidFill>
          </w14:textFill>
        </w:rPr>
        <w:t>修改意见</w:t>
      </w:r>
      <w:r>
        <w:rPr>
          <w:rFonts w:ascii="Times New Roman" w:hAnsi="Times New Roman" w:eastAsia="仿宋" w:cs="Times New Roman"/>
          <w:b w:val="0"/>
          <w:bCs w:val="0"/>
          <w:color w:val="000000" w:themeColor="text1"/>
          <w:highlight w:val="none"/>
          <w:lang w:val="en-US"/>
          <w14:textFill>
            <w14:solidFill>
              <w14:schemeClr w14:val="tx1"/>
            </w14:solidFill>
          </w14:textFill>
        </w:rPr>
        <w:t>。</w:t>
      </w:r>
      <w:r>
        <w:rPr>
          <w:rFonts w:ascii="Times New Roman" w:hAnsi="Times New Roman" w:eastAsia="仿宋" w:cs="Times New Roman"/>
          <w:b w:val="0"/>
          <w:bCs w:val="0"/>
          <w:color w:val="000000" w:themeColor="text1"/>
          <w:lang w:val="en-US"/>
          <w14:textFill>
            <w14:solidFill>
              <w14:schemeClr w14:val="tx1"/>
            </w14:solidFill>
          </w14:textFill>
        </w:rPr>
        <w:t>会后，形成标准</w:t>
      </w:r>
      <w:r>
        <w:rPr>
          <w:rFonts w:hint="eastAsia" w:ascii="Times New Roman" w:hAnsi="Times New Roman" w:eastAsia="仿宋" w:cs="Times New Roman"/>
          <w:b w:val="0"/>
          <w:bCs w:val="0"/>
          <w:color w:val="000000" w:themeColor="text1"/>
          <w:lang w:val="en-US" w:eastAsia="zh-CN"/>
          <w14:textFill>
            <w14:solidFill>
              <w14:schemeClr w14:val="tx1"/>
            </w14:solidFill>
          </w14:textFill>
        </w:rPr>
        <w:t>工作组讨论稿（2稿）</w:t>
      </w:r>
      <w:r>
        <w:rPr>
          <w:rFonts w:ascii="Times New Roman" w:hAnsi="Times New Roman" w:eastAsia="仿宋" w:cs="Times New Roman"/>
          <w:b w:val="0"/>
          <w:bCs w:val="0"/>
          <w:color w:val="000000" w:themeColor="text1"/>
          <w:lang w:val="en-US"/>
          <w14:textFill>
            <w14:solidFill>
              <w14:schemeClr w14:val="tx1"/>
            </w14:solidFill>
          </w14:textFill>
        </w:rPr>
        <w:t>。</w:t>
      </w:r>
    </w:p>
    <w:p w14:paraId="1F32F64F">
      <w:pPr>
        <w:pStyle w:val="3"/>
        <w:ind w:left="0" w:firstLine="640"/>
        <w:rPr>
          <w:rFonts w:hint="default" w:ascii="Times New Roman" w:hAnsi="Times New Roman" w:eastAsia="仿宋" w:cs="Times New Roman"/>
          <w:b w:val="0"/>
          <w:bCs w:val="0"/>
          <w:color w:val="000000" w:themeColor="text1"/>
          <w:lang w:val="en-US" w:eastAsia="zh-CN"/>
          <w14:textFill>
            <w14:solidFill>
              <w14:schemeClr w14:val="tx1"/>
            </w14:solidFill>
          </w14:textFill>
        </w:rPr>
      </w:pPr>
      <w:r>
        <w:rPr>
          <w:rFonts w:hint="eastAsia" w:ascii="Times New Roman" w:hAnsi="Times New Roman" w:eastAsia="仿宋" w:cs="Times New Roman"/>
          <w:b w:val="0"/>
          <w:bCs w:val="0"/>
          <w:color w:val="000000" w:themeColor="text1"/>
          <w:lang w:val="en-US"/>
          <w14:textFill>
            <w14:solidFill>
              <w14:schemeClr w14:val="tx1"/>
            </w14:solidFill>
          </w14:textFill>
        </w:rPr>
        <w:t>202</w:t>
      </w:r>
      <w:r>
        <w:rPr>
          <w:rFonts w:hint="eastAsia" w:ascii="Times New Roman" w:hAnsi="Times New Roman" w:eastAsia="仿宋" w:cs="Times New Roman"/>
          <w:b w:val="0"/>
          <w:bCs w:val="0"/>
          <w:color w:val="000000" w:themeColor="text1"/>
          <w:lang w:val="en-US" w:eastAsia="zh-CN"/>
          <w14:textFill>
            <w14:solidFill>
              <w14:schemeClr w14:val="tx1"/>
            </w14:solidFill>
          </w14:textFill>
        </w:rPr>
        <w:t>3</w:t>
      </w:r>
      <w:r>
        <w:rPr>
          <w:rFonts w:hint="eastAsia" w:ascii="Times New Roman" w:hAnsi="Times New Roman" w:eastAsia="仿宋" w:cs="Times New Roman"/>
          <w:b w:val="0"/>
          <w:bCs w:val="0"/>
          <w:color w:val="000000" w:themeColor="text1"/>
          <w:lang w:val="en-US"/>
          <w14:textFill>
            <w14:solidFill>
              <w14:schemeClr w14:val="tx1"/>
            </w14:solidFill>
          </w14:textFill>
        </w:rPr>
        <w:t>年</w:t>
      </w:r>
      <w:r>
        <w:rPr>
          <w:rFonts w:hint="eastAsia" w:ascii="Times New Roman" w:hAnsi="Times New Roman" w:eastAsia="仿宋" w:cs="Times New Roman"/>
          <w:b w:val="0"/>
          <w:bCs w:val="0"/>
          <w:color w:val="000000" w:themeColor="text1"/>
          <w:lang w:val="en-US" w:eastAsia="zh-CN"/>
          <w14:textFill>
            <w14:solidFill>
              <w14:schemeClr w14:val="tx1"/>
            </w14:solidFill>
          </w14:textFill>
        </w:rPr>
        <w:t>12</w:t>
      </w:r>
      <w:r>
        <w:rPr>
          <w:rFonts w:hint="eastAsia" w:ascii="Times New Roman" w:hAnsi="Times New Roman" w:eastAsia="仿宋" w:cs="Times New Roman"/>
          <w:b w:val="0"/>
          <w:bCs w:val="0"/>
          <w:color w:val="000000" w:themeColor="text1"/>
          <w:lang w:val="en-US"/>
          <w14:textFill>
            <w14:solidFill>
              <w14:schemeClr w14:val="tx1"/>
            </w14:solidFill>
          </w14:textFill>
        </w:rPr>
        <w:t>月</w:t>
      </w:r>
      <w:r>
        <w:rPr>
          <w:rFonts w:hint="eastAsia" w:ascii="Times New Roman" w:hAnsi="Times New Roman" w:eastAsia="仿宋" w:cs="Times New Roman"/>
          <w:b w:val="0"/>
          <w:bCs w:val="0"/>
          <w:color w:val="000000" w:themeColor="text1"/>
          <w:lang w:val="en-US" w:eastAsia="zh-CN"/>
          <w14:textFill>
            <w14:solidFill>
              <w14:schemeClr w14:val="tx1"/>
            </w14:solidFill>
          </w14:textFill>
        </w:rPr>
        <w:t>-2024年4月：标准起草组参考了《失智老人照护师》（北京出版社.2017）、《阿尔茨海默病精神运动康复照护指导手册》（中国社会出版社.2017）、《失智症照护指南》（华夏出版社出版.2016）、《实用老年护理全书》等专业书籍，完善标准，修改形成</w:t>
      </w:r>
      <w:r>
        <w:rPr>
          <w:rFonts w:ascii="Times New Roman" w:hAnsi="Times New Roman" w:eastAsia="仿宋" w:cs="Times New Roman"/>
          <w:b w:val="0"/>
          <w:bCs w:val="0"/>
          <w:color w:val="000000" w:themeColor="text1"/>
          <w:lang w:val="en-US"/>
          <w14:textFill>
            <w14:solidFill>
              <w14:schemeClr w14:val="tx1"/>
            </w14:solidFill>
          </w14:textFill>
        </w:rPr>
        <w:t>形成标准</w:t>
      </w:r>
      <w:r>
        <w:rPr>
          <w:rFonts w:hint="eastAsia" w:ascii="Times New Roman" w:hAnsi="Times New Roman" w:eastAsia="仿宋" w:cs="Times New Roman"/>
          <w:b w:val="0"/>
          <w:bCs w:val="0"/>
          <w:color w:val="000000" w:themeColor="text1"/>
          <w:lang w:val="en-US" w:eastAsia="zh-CN"/>
          <w14:textFill>
            <w14:solidFill>
              <w14:schemeClr w14:val="tx1"/>
            </w14:solidFill>
          </w14:textFill>
        </w:rPr>
        <w:t>工作组讨论稿（3稿）</w:t>
      </w:r>
    </w:p>
    <w:p w14:paraId="4FB0316C">
      <w:pPr>
        <w:pStyle w:val="3"/>
        <w:ind w:left="0" w:firstLine="640"/>
        <w:rPr>
          <w:rFonts w:hint="eastAsia" w:ascii="Times New Roman" w:hAnsi="Times New Roman" w:eastAsia="仿宋" w:cs="Times New Roman"/>
          <w:b w:val="0"/>
          <w:bCs w:val="0"/>
          <w:color w:val="000000" w:themeColor="text1"/>
          <w:lang w:val="en-US" w:eastAsia="zh-CN"/>
          <w14:textFill>
            <w14:solidFill>
              <w14:schemeClr w14:val="tx1"/>
            </w14:solidFill>
          </w14:textFill>
        </w:rPr>
      </w:pPr>
      <w:r>
        <w:rPr>
          <w:rFonts w:hint="eastAsia" w:ascii="Times New Roman" w:hAnsi="Times New Roman" w:eastAsia="仿宋" w:cs="Times New Roman"/>
          <w:b w:val="0"/>
          <w:bCs w:val="0"/>
          <w:color w:val="000000" w:themeColor="text1"/>
          <w:lang w:val="en-US" w:eastAsia="zh-CN"/>
          <w14:textFill>
            <w14:solidFill>
              <w14:schemeClr w14:val="tx1"/>
            </w14:solidFill>
          </w14:textFill>
        </w:rPr>
        <w:t>2024年5月15日，</w:t>
      </w:r>
      <w:r>
        <w:rPr>
          <w:rFonts w:ascii="Times New Roman" w:hAnsi="Times New Roman" w:eastAsia="仿宋" w:cs="Times New Roman"/>
          <w:b w:val="0"/>
          <w:bCs w:val="0"/>
          <w:color w:val="000000" w:themeColor="text1"/>
          <w:lang w:val="en-US"/>
          <w14:textFill>
            <w14:solidFill>
              <w14:schemeClr w14:val="tx1"/>
            </w14:solidFill>
          </w14:textFill>
        </w:rPr>
        <w:t>起草组组织在南京召开了</w:t>
      </w:r>
      <w:r>
        <w:rPr>
          <w:rFonts w:hint="eastAsia" w:ascii="Times New Roman" w:hAnsi="Times New Roman" w:eastAsia="仿宋" w:cs="Times New Roman"/>
          <w:b w:val="0"/>
          <w:bCs w:val="0"/>
          <w:color w:val="000000" w:themeColor="text1"/>
          <w:lang w:val="en-US" w:eastAsia="zh-CN"/>
          <w14:textFill>
            <w14:solidFill>
              <w14:schemeClr w14:val="tx1"/>
            </w14:solidFill>
          </w14:textFill>
        </w:rPr>
        <w:t>第二次标准研讨会</w:t>
      </w:r>
      <w:r>
        <w:rPr>
          <w:rFonts w:ascii="Times New Roman" w:hAnsi="Times New Roman" w:eastAsia="仿宋" w:cs="Times New Roman"/>
          <w:b w:val="0"/>
          <w:bCs w:val="0"/>
          <w:color w:val="000000" w:themeColor="text1"/>
          <w:lang w:val="en-US"/>
          <w14:textFill>
            <w14:solidFill>
              <w14:schemeClr w14:val="tx1"/>
            </w14:solidFill>
          </w14:textFill>
        </w:rPr>
        <w:t>。会议邀请了</w:t>
      </w:r>
      <w:r>
        <w:rPr>
          <w:rFonts w:hint="eastAsia" w:ascii="Times New Roman" w:hAnsi="Times New Roman" w:eastAsia="仿宋" w:cs="Times New Roman"/>
          <w:b w:val="0"/>
          <w:bCs w:val="0"/>
          <w:color w:val="000000" w:themeColor="text1"/>
          <w:lang w:val="en-US"/>
          <w14:textFill>
            <w14:solidFill>
              <w14:schemeClr w14:val="tx1"/>
            </w14:solidFill>
          </w14:textFill>
        </w:rPr>
        <w:t>欧葆庭（上海）投资有限公司</w:t>
      </w:r>
      <w:r>
        <w:rPr>
          <w:rFonts w:hint="eastAsia" w:ascii="Times New Roman" w:hAnsi="Times New Roman" w:eastAsia="仿宋" w:cs="Times New Roman"/>
          <w:b w:val="0"/>
          <w:bCs w:val="0"/>
          <w:color w:val="000000" w:themeColor="text1"/>
          <w:lang w:val="en-US" w:eastAsia="zh-CN"/>
          <w14:textFill>
            <w14:solidFill>
              <w14:schemeClr w14:val="tx1"/>
            </w14:solidFill>
          </w14:textFill>
        </w:rPr>
        <w:t>、</w:t>
      </w:r>
      <w:r>
        <w:rPr>
          <w:rFonts w:hint="eastAsia" w:ascii="Times New Roman" w:hAnsi="Times New Roman" w:eastAsia="仿宋" w:cs="Times New Roman"/>
          <w:b w:val="0"/>
          <w:bCs w:val="0"/>
          <w:color w:val="000000" w:themeColor="text1"/>
          <w:lang w:val="en-US"/>
          <w14:textFill>
            <w14:solidFill>
              <w14:schemeClr w14:val="tx1"/>
            </w14:solidFill>
          </w14:textFill>
        </w:rPr>
        <w:t>如皋申丞护理院有限公司</w:t>
      </w:r>
      <w:r>
        <w:rPr>
          <w:rFonts w:hint="eastAsia" w:ascii="Times New Roman" w:hAnsi="Times New Roman" w:eastAsia="仿宋" w:cs="Times New Roman"/>
          <w:b w:val="0"/>
          <w:bCs w:val="0"/>
          <w:color w:val="000000" w:themeColor="text1"/>
          <w:lang w:val="en-US" w:eastAsia="zh-CN"/>
          <w14:textFill>
            <w14:solidFill>
              <w14:schemeClr w14:val="tx1"/>
            </w14:solidFill>
          </w14:textFill>
        </w:rPr>
        <w:t>、</w:t>
      </w:r>
      <w:r>
        <w:rPr>
          <w:rFonts w:hint="eastAsia" w:ascii="Times New Roman" w:hAnsi="Times New Roman" w:eastAsia="仿宋" w:cs="Times New Roman"/>
          <w:b w:val="0"/>
          <w:bCs w:val="0"/>
          <w:color w:val="000000" w:themeColor="text1"/>
          <w:lang w:val="en-US"/>
          <w14:textFill>
            <w14:solidFill>
              <w14:schemeClr w14:val="tx1"/>
            </w14:solidFill>
          </w14:textFill>
        </w:rPr>
        <w:t>南京医科大学护理学院</w:t>
      </w:r>
      <w:r>
        <w:rPr>
          <w:rFonts w:hint="eastAsia" w:ascii="Times New Roman" w:hAnsi="Times New Roman" w:eastAsia="仿宋" w:cs="Times New Roman"/>
          <w:b w:val="0"/>
          <w:bCs w:val="0"/>
          <w:color w:val="000000" w:themeColor="text1"/>
          <w:lang w:val="en-US" w:eastAsia="zh-CN"/>
          <w14:textFill>
            <w14:solidFill>
              <w14:schemeClr w14:val="tx1"/>
            </w14:solidFill>
          </w14:textFill>
        </w:rPr>
        <w:t>、</w:t>
      </w:r>
      <w:r>
        <w:rPr>
          <w:rFonts w:hint="eastAsia" w:ascii="Times New Roman" w:hAnsi="Times New Roman" w:eastAsia="仿宋" w:cs="Times New Roman"/>
          <w:b w:val="0"/>
          <w:bCs w:val="0"/>
          <w:color w:val="000000" w:themeColor="text1"/>
          <w:lang w:val="en-US"/>
          <w14:textFill>
            <w14:solidFill>
              <w14:schemeClr w14:val="tx1"/>
            </w14:solidFill>
          </w14:textFill>
        </w:rPr>
        <w:t>南通市阳光养老产业集团有限公司</w:t>
      </w:r>
      <w:r>
        <w:rPr>
          <w:rFonts w:ascii="Times New Roman" w:hAnsi="Times New Roman" w:eastAsia="仿宋" w:cs="Times New Roman"/>
          <w:b w:val="0"/>
          <w:bCs w:val="0"/>
          <w:color w:val="000000" w:themeColor="text1"/>
          <w:lang w:val="en-US"/>
          <w14:textFill>
            <w14:solidFill>
              <w14:schemeClr w14:val="tx1"/>
            </w14:solidFill>
          </w14:textFill>
        </w:rPr>
        <w:t>的专家参会。会上专家对标准进行了深入讨论，提出</w:t>
      </w:r>
      <w:r>
        <w:rPr>
          <w:rFonts w:hint="eastAsia" w:ascii="Times New Roman" w:hAnsi="Times New Roman" w:eastAsia="仿宋" w:cs="Times New Roman"/>
          <w:b w:val="0"/>
          <w:bCs w:val="0"/>
          <w:color w:val="000000" w:themeColor="text1"/>
          <w:lang w:val="en-US" w:eastAsia="zh-CN"/>
          <w14:textFill>
            <w14:solidFill>
              <w14:schemeClr w14:val="tx1"/>
            </w14:solidFill>
          </w14:textFill>
        </w:rPr>
        <w:t>了“细化认知功能训练服务要求”等修改意见。会后，起草组修改形成标准征求意见稿。</w:t>
      </w:r>
    </w:p>
    <w:p w14:paraId="690B35F2">
      <w:pPr>
        <w:pStyle w:val="3"/>
        <w:ind w:left="0" w:firstLine="640"/>
        <w:rPr>
          <w:rFonts w:hint="eastAsia" w:ascii="Times New Roman" w:hAnsi="Times New Roman" w:eastAsia="仿宋" w:cs="Times New Roman"/>
          <w:b w:val="0"/>
          <w:bCs w:val="0"/>
          <w:color w:val="000000" w:themeColor="text1"/>
          <w:lang w:val="en-US" w:eastAsia="zh-CN"/>
          <w14:textFill>
            <w14:solidFill>
              <w14:schemeClr w14:val="tx1"/>
            </w14:solidFill>
          </w14:textFill>
        </w:rPr>
      </w:pPr>
      <w:r>
        <w:rPr>
          <w:rFonts w:hint="default" w:ascii="Times New Roman" w:hAnsi="Times New Roman" w:eastAsia="仿宋" w:cs="Times New Roman"/>
          <w:b w:val="0"/>
          <w:bCs w:val="0"/>
          <w:color w:val="000000" w:themeColor="text1"/>
          <w:lang w:val="en-US" w:eastAsia="zh-CN"/>
          <w14:textFill>
            <w14:solidFill>
              <w14:schemeClr w14:val="tx1"/>
            </w14:solidFill>
          </w14:textFill>
        </w:rPr>
        <w:t>2024年8月9日</w:t>
      </w:r>
      <w:r>
        <w:rPr>
          <w:rFonts w:hint="eastAsia" w:ascii="Times New Roman" w:hAnsi="Times New Roman" w:eastAsia="仿宋" w:cs="Times New Roman"/>
          <w:b w:val="0"/>
          <w:bCs w:val="0"/>
          <w:color w:val="000000" w:themeColor="text1"/>
          <w:lang w:val="en-US" w:eastAsia="zh-CN"/>
          <w14:textFill>
            <w14:solidFill>
              <w14:schemeClr w14:val="tx1"/>
            </w14:solidFill>
          </w14:textFill>
        </w:rPr>
        <w:t>—9月7日：</w:t>
      </w:r>
      <w:r>
        <w:rPr>
          <w:rFonts w:ascii="Times New Roman" w:hAnsi="Times New Roman" w:eastAsia="仿宋" w:cs="Times New Roman"/>
          <w:b w:val="0"/>
          <w:bCs w:val="0"/>
          <w:color w:val="000000" w:themeColor="text1"/>
          <w:lang w:val="en-US"/>
          <w14:textFill>
            <w14:solidFill>
              <w14:schemeClr w14:val="tx1"/>
            </w14:solidFill>
          </w14:textFill>
        </w:rPr>
        <w:t>根据《地方标准管理办法》《江苏省地方标准管理规定》，</w:t>
      </w:r>
      <w:r>
        <w:rPr>
          <w:rFonts w:hint="eastAsia" w:ascii="Times New Roman" w:hAnsi="Times New Roman" w:eastAsia="仿宋" w:cs="Times New Roman"/>
          <w:b w:val="0"/>
          <w:bCs w:val="0"/>
          <w:color w:val="000000" w:themeColor="text1"/>
          <w:lang w:val="en-US" w:eastAsia="zh-CN"/>
          <w14:textFill>
            <w14:solidFill>
              <w14:schemeClr w14:val="tx1"/>
            </w14:solidFill>
          </w14:textFill>
        </w:rPr>
        <w:t>标准起草组通过发函至江苏省民政厅养老服务处、江苏省社会福利协会、南京医科大学护理学院、欧葆庭（上海）投资有限公司、南通市阳光养老产业集团有限公司、常州市福利院等主管部门、高校、养老机构共8家，以及在江苏省市场监督管理局网站发布通知，对标准的征求意见稿进行广泛征求意见。收到“征求意见函”回函的单位8个，无意见单位5个。</w:t>
      </w:r>
    </w:p>
    <w:p w14:paraId="7E6C5DF8">
      <w:pPr>
        <w:pStyle w:val="3"/>
        <w:ind w:left="0" w:firstLine="640"/>
        <w:rPr>
          <w:rFonts w:hint="eastAsia" w:ascii="Times New Roman" w:hAnsi="Times New Roman" w:eastAsia="仿宋" w:cs="Times New Roman"/>
          <w:b w:val="0"/>
          <w:bCs w:val="0"/>
          <w:color w:val="000000" w:themeColor="text1"/>
          <w:lang w:val="en-US" w:eastAsia="zh-CN"/>
          <w14:textFill>
            <w14:solidFill>
              <w14:schemeClr w14:val="tx1"/>
            </w14:solidFill>
          </w14:textFill>
        </w:rPr>
      </w:pPr>
      <w:r>
        <w:rPr>
          <w:rFonts w:hint="eastAsia" w:ascii="Times New Roman" w:hAnsi="Times New Roman" w:eastAsia="仿宋" w:cs="Times New Roman"/>
          <w:b w:val="0"/>
          <w:bCs w:val="0"/>
          <w:color w:val="000000" w:themeColor="text1"/>
          <w:lang w:val="en-US" w:eastAsia="zh-CN"/>
          <w14:textFill>
            <w14:solidFill>
              <w14:schemeClr w14:val="tx1"/>
            </w14:solidFill>
          </w14:textFill>
        </w:rPr>
        <w:t>标准起草单位对意见处理结果：共收到意见35条,采纳32条，部分采纳1条，不予采纳2条。起草组根据征求意见修改形成标准送审稿和编制说明。未采纳的意见及主要理由说明如下：</w:t>
      </w:r>
    </w:p>
    <w:p w14:paraId="574820D4">
      <w:pPr>
        <w:pStyle w:val="3"/>
        <w:ind w:left="0" w:firstLine="640"/>
        <w:rPr>
          <w:rFonts w:hint="eastAsia" w:ascii="Times New Roman" w:hAnsi="Times New Roman" w:eastAsia="仿宋" w:cs="Times New Roman"/>
          <w:b w:val="0"/>
          <w:bCs w:val="0"/>
          <w:color w:val="000000" w:themeColor="text1"/>
          <w:lang w:val="en-US" w:eastAsia="zh-CN"/>
          <w14:textFill>
            <w14:solidFill>
              <w14:schemeClr w14:val="tx1"/>
            </w14:solidFill>
          </w14:textFill>
        </w:rPr>
      </w:pPr>
      <w:r>
        <w:rPr>
          <w:rFonts w:hint="eastAsia" w:ascii="Times New Roman" w:hAnsi="Times New Roman" w:eastAsia="仿宋" w:cs="Times New Roman"/>
          <w:b w:val="0"/>
          <w:bCs w:val="0"/>
          <w:color w:val="000000" w:themeColor="text1"/>
          <w:lang w:val="en-US" w:eastAsia="zh-CN"/>
          <w14:textFill>
            <w14:solidFill>
              <w14:schemeClr w14:val="tx1"/>
            </w14:solidFill>
          </w14:textFill>
        </w:rPr>
        <w:t>建议删除6.2.2让家属确认康复训练计划的要求。起草组未采纳理由为：从保障养老机构和老年人双方权益的角度，在评估并听取老年人及相关第三方的康复训练需求后，制定了康复训练计划，是有必要让其签字确认的。</w:t>
      </w:r>
    </w:p>
    <w:p w14:paraId="79705C4C">
      <w:pPr>
        <w:pStyle w:val="3"/>
        <w:ind w:left="0" w:firstLine="640"/>
        <w:rPr>
          <w:rFonts w:hint="eastAsia" w:ascii="Times New Roman" w:hAnsi="Times New Roman" w:eastAsia="仿宋" w:cs="Times New Roman"/>
          <w:b w:val="0"/>
          <w:bCs w:val="0"/>
          <w:color w:val="000000" w:themeColor="text1"/>
          <w:lang w:val="en-US" w:eastAsia="zh-CN"/>
          <w14:textFill>
            <w14:solidFill>
              <w14:schemeClr w14:val="tx1"/>
            </w14:solidFill>
          </w14:textFill>
        </w:rPr>
      </w:pPr>
      <w:r>
        <w:rPr>
          <w:rFonts w:hint="eastAsia" w:ascii="Times New Roman" w:hAnsi="Times New Roman" w:eastAsia="仿宋" w:cs="Times New Roman"/>
          <w:b w:val="0"/>
          <w:bCs w:val="0"/>
          <w:color w:val="000000" w:themeColor="text1"/>
          <w:lang w:val="en-US" w:eastAsia="zh-CN"/>
          <w14:textFill>
            <w14:solidFill>
              <w14:schemeClr w14:val="tx1"/>
            </w14:solidFill>
          </w14:textFill>
        </w:rPr>
        <w:t>第7章“档案管理”里建议增加信息安全、数据安全的要求。起草组未采纳理由为：信息安全、数据安全是档案管理的通用要求，本标准中不再专门针对档案信息化方面提要求。</w:t>
      </w:r>
    </w:p>
    <w:p w14:paraId="1FF77855">
      <w:pPr>
        <w:pStyle w:val="3"/>
        <w:ind w:left="0" w:firstLine="640"/>
        <w:rPr>
          <w:rFonts w:hint="eastAsia" w:ascii="Times New Roman" w:hAnsi="Times New Roman" w:eastAsia="仿宋" w:cs="Times New Roman"/>
          <w:b w:val="0"/>
          <w:bCs w:val="0"/>
          <w:color w:val="000000" w:themeColor="text1"/>
          <w:lang w:val="en-US" w:eastAsia="zh-CN"/>
          <w14:textFill>
            <w14:solidFill>
              <w14:schemeClr w14:val="tx1"/>
            </w14:solidFill>
          </w14:textFill>
        </w:rPr>
      </w:pPr>
      <w:bookmarkStart w:id="0" w:name="_GoBack"/>
      <w:r>
        <w:rPr>
          <w:rFonts w:hint="eastAsia" w:ascii="Times New Roman" w:hAnsi="Times New Roman" w:eastAsia="仿宋" w:cs="Times New Roman"/>
          <w:b w:val="0"/>
          <w:bCs w:val="0"/>
          <w:color w:val="000000" w:themeColor="text1"/>
          <w:lang w:val="en-US" w:eastAsia="zh-CN"/>
          <w14:textFill>
            <w14:solidFill>
              <w14:schemeClr w14:val="tx1"/>
            </w14:solidFill>
          </w14:textFill>
        </w:rPr>
        <w:t>2024年9月18日，江苏省市场监督管理局委托江苏省养老服务标委会在南京组织召开了本标准评审会，专家组由来自省民政厅、省社会福利协会、省老年公寓等单位和机构的7位专家组成，专家组对标准逐条审查之后，一致同意通过审查，并提出了3条主要修改意见：1、在基本要求中增加风险评估的内容；2、优化调整服务流程；3、进一步征求养老机构康复治疗师的意见。</w:t>
      </w:r>
      <w:r>
        <w:rPr>
          <w:rFonts w:hint="eastAsia" w:ascii="Times New Roman" w:hAnsi="Times New Roman" w:eastAsia="仿宋" w:cs="Times New Roman"/>
          <w:b w:val="0"/>
          <w:bCs/>
          <w:color w:val="000000" w:themeColor="text1"/>
          <w:highlight w:val="none"/>
          <w:lang w:val="en-US" w:eastAsia="zh-CN"/>
          <w14:textFill>
            <w14:solidFill>
              <w14:schemeClr w14:val="tx1"/>
            </w14:solidFill>
          </w14:textFill>
        </w:rPr>
        <w:t>标准起草组根据专家组的意见和建议（共20条，均采纳，详见《江苏省地方标准&lt;认知障碍老年人康复训练服务规范&gt;评审会专家意见汇总表》），对标准进行修改完善，形成标准报批材料，提交至省市场监管局。</w:t>
      </w:r>
    </w:p>
    <w:bookmarkEnd w:id="0"/>
    <w:p w14:paraId="39FF414D">
      <w:pPr>
        <w:pStyle w:val="3"/>
        <w:numPr>
          <w:ilvl w:val="0"/>
          <w:numId w:val="2"/>
        </w:numPr>
        <w:ind w:left="0"/>
        <w:rPr>
          <w:rFonts w:ascii="Times New Roman" w:hAnsi="Times New Roman" w:eastAsia="黑体" w:cs="Times New Roman"/>
          <w:b w:val="0"/>
          <w:bCs w:val="0"/>
          <w:color w:val="000000" w:themeColor="text1"/>
          <w:lang w:val="en-US"/>
          <w14:textFill>
            <w14:solidFill>
              <w14:schemeClr w14:val="tx1"/>
            </w14:solidFill>
          </w14:textFill>
        </w:rPr>
      </w:pPr>
      <w:r>
        <w:rPr>
          <w:rFonts w:ascii="Times New Roman" w:hAnsi="Times New Roman" w:eastAsia="黑体" w:cs="Times New Roman"/>
          <w:b w:val="0"/>
          <w:bCs w:val="0"/>
          <w:color w:val="000000" w:themeColor="text1"/>
          <w:lang w:val="en-US"/>
          <w14:textFill>
            <w14:solidFill>
              <w14:schemeClr w14:val="tx1"/>
            </w14:solidFill>
          </w14:textFill>
        </w:rPr>
        <w:t>主要内容</w:t>
      </w:r>
      <w:r>
        <w:rPr>
          <w:rFonts w:hint="eastAsia" w:ascii="Times New Roman" w:hAnsi="Times New Roman" w:eastAsia="黑体" w:cs="Times New Roman"/>
          <w:b w:val="0"/>
          <w:bCs w:val="0"/>
          <w:color w:val="000000" w:themeColor="text1"/>
          <w:lang w:val="en-US" w:eastAsia="zh-CN"/>
          <w14:textFill>
            <w14:solidFill>
              <w14:schemeClr w14:val="tx1"/>
            </w14:solidFill>
          </w14:textFill>
        </w:rPr>
        <w:t>以及技术指标确定的依据</w:t>
      </w:r>
    </w:p>
    <w:p w14:paraId="2ACA501C">
      <w:pPr>
        <w:pStyle w:val="3"/>
        <w:ind w:left="0" w:firstLine="640"/>
        <w:rPr>
          <w:rFonts w:hint="eastAsia" w:ascii="Times New Roman" w:hAnsi="Times New Roman" w:eastAsia="仿宋" w:cs="Times New Roman"/>
          <w:b w:val="0"/>
          <w:bCs w:val="0"/>
          <w:color w:val="000000" w:themeColor="text1"/>
          <w:lang w:val="en-US" w:eastAsia="zh-CN"/>
          <w14:textFill>
            <w14:solidFill>
              <w14:schemeClr w14:val="tx1"/>
            </w14:solidFill>
          </w14:textFill>
        </w:rPr>
      </w:pPr>
      <w:r>
        <w:rPr>
          <w:rFonts w:hint="eastAsia" w:ascii="Times New Roman" w:hAnsi="Times New Roman" w:eastAsia="仿宋" w:cs="Times New Roman"/>
          <w:b w:val="0"/>
          <w:bCs w:val="0"/>
          <w:color w:val="000000" w:themeColor="text1"/>
          <w:lang w:val="en-US" w:eastAsia="zh-CN"/>
          <w14:textFill>
            <w14:solidFill>
              <w14:schemeClr w14:val="tx1"/>
            </w14:solidFill>
          </w14:textFill>
        </w:rPr>
        <w:t>本文件规定了规定了认知障碍老年人康复训练服务的基本要求、服务流程、服务内容和要求、档案管理、服务评价与改进。本文件适用于养老机构认知障碍老年人康复训练服务。</w:t>
      </w:r>
    </w:p>
    <w:p w14:paraId="1B524790">
      <w:pPr>
        <w:pStyle w:val="3"/>
        <w:ind w:left="0" w:firstLine="640"/>
        <w:rPr>
          <w:rFonts w:hint="eastAsia" w:ascii="Times New Roman" w:hAnsi="Times New Roman" w:eastAsia="仿宋" w:cs="Times New Roman"/>
          <w:b w:val="0"/>
          <w:bCs w:val="0"/>
          <w:color w:val="000000" w:themeColor="text1"/>
          <w:lang w:val="en-US" w:eastAsia="zh-CN"/>
          <w14:textFill>
            <w14:solidFill>
              <w14:schemeClr w14:val="tx1"/>
            </w14:solidFill>
          </w14:textFill>
        </w:rPr>
      </w:pPr>
      <w:r>
        <w:rPr>
          <w:rFonts w:hint="eastAsia" w:ascii="Times New Roman" w:hAnsi="Times New Roman" w:eastAsia="仿宋" w:cs="Times New Roman"/>
          <w:b w:val="0"/>
          <w:bCs w:val="0"/>
          <w:color w:val="000000" w:themeColor="text1"/>
          <w:lang w:val="en-US" w:eastAsia="zh-CN"/>
          <w14:textFill>
            <w14:solidFill>
              <w14:schemeClr w14:val="tx1"/>
            </w14:solidFill>
          </w14:textFill>
        </w:rPr>
        <w:t>（一）术语和定义</w:t>
      </w:r>
    </w:p>
    <w:p w14:paraId="225216F9">
      <w:pPr>
        <w:pStyle w:val="3"/>
        <w:ind w:left="0" w:firstLine="640"/>
        <w:rPr>
          <w:rFonts w:hint="default" w:ascii="Times New Roman" w:hAnsi="Times New Roman" w:eastAsia="仿宋" w:cs="Times New Roman"/>
          <w:b w:val="0"/>
          <w:bCs w:val="0"/>
          <w:color w:val="000000" w:themeColor="text1"/>
          <w:lang w:val="en-US" w:eastAsia="zh-CN"/>
          <w14:textFill>
            <w14:solidFill>
              <w14:schemeClr w14:val="tx1"/>
            </w14:solidFill>
          </w14:textFill>
        </w:rPr>
      </w:pPr>
      <w:r>
        <w:rPr>
          <w:rFonts w:hint="eastAsia" w:ascii="Times New Roman" w:hAnsi="Times New Roman" w:eastAsia="仿宋" w:cs="Times New Roman"/>
          <w:b w:val="0"/>
          <w:bCs w:val="0"/>
          <w:color w:val="000000" w:themeColor="text1"/>
          <w:lang w:val="en-US" w:eastAsia="zh-CN"/>
          <w14:textFill>
            <w14:solidFill>
              <w14:schemeClr w14:val="tx1"/>
            </w14:solidFill>
          </w14:textFill>
        </w:rPr>
        <w:t>“3 术语和定义”中给出了“认知障碍老年人”“相关第三方”2个术语的定义。“认知障碍老年人”的定义来源于DB32/T 4457—2023《养老机构认知障碍照护专区设置与服务规范》的3.1。“相关第三方”的定义来源于GB 38600—2019《养老机构服务安全基本规范》的3.1。</w:t>
      </w:r>
    </w:p>
    <w:p w14:paraId="39D4BD89">
      <w:pPr>
        <w:pStyle w:val="3"/>
        <w:ind w:left="0" w:firstLine="640"/>
        <w:rPr>
          <w:rFonts w:hint="eastAsia" w:ascii="Times New Roman" w:hAnsi="Times New Roman" w:eastAsia="仿宋" w:cs="Times New Roman"/>
          <w:b w:val="0"/>
          <w:bCs w:val="0"/>
          <w:color w:val="000000" w:themeColor="text1"/>
          <w:lang w:val="en-US" w:eastAsia="zh-CN"/>
          <w14:textFill>
            <w14:solidFill>
              <w14:schemeClr w14:val="tx1"/>
            </w14:solidFill>
          </w14:textFill>
        </w:rPr>
      </w:pPr>
      <w:r>
        <w:rPr>
          <w:rFonts w:hint="eastAsia" w:ascii="Times New Roman" w:hAnsi="Times New Roman" w:eastAsia="仿宋" w:cs="Times New Roman"/>
          <w:b w:val="0"/>
          <w:bCs w:val="0"/>
          <w:color w:val="000000" w:themeColor="text1"/>
          <w:lang w:val="en-US" w:eastAsia="zh-CN"/>
          <w14:textFill>
            <w14:solidFill>
              <w14:schemeClr w14:val="tx1"/>
            </w14:solidFill>
          </w14:textFill>
        </w:rPr>
        <w:t>（二）基本要求</w:t>
      </w:r>
    </w:p>
    <w:p w14:paraId="6384823D">
      <w:pPr>
        <w:pStyle w:val="3"/>
        <w:ind w:left="0" w:firstLine="640"/>
        <w:rPr>
          <w:rFonts w:hint="eastAsia" w:ascii="Times New Roman" w:hAnsi="Times New Roman" w:eastAsia="仿宋" w:cs="Times New Roman"/>
          <w:b w:val="0"/>
          <w:bCs w:val="0"/>
          <w:color w:val="000000" w:themeColor="text1"/>
          <w:lang w:val="en-US" w:eastAsia="zh-CN"/>
          <w14:textFill>
            <w14:solidFill>
              <w14:schemeClr w14:val="tx1"/>
            </w14:solidFill>
          </w14:textFill>
        </w:rPr>
      </w:pPr>
      <w:r>
        <w:rPr>
          <w:rFonts w:hint="eastAsia" w:ascii="Times New Roman" w:hAnsi="Times New Roman" w:eastAsia="仿宋" w:cs="Times New Roman"/>
          <w:b w:val="0"/>
          <w:bCs w:val="0"/>
          <w:color w:val="000000" w:themeColor="text1"/>
          <w:lang w:val="en-US" w:eastAsia="zh-CN"/>
          <w14:textFill>
            <w14:solidFill>
              <w14:schemeClr w14:val="tx1"/>
            </w14:solidFill>
          </w14:textFill>
        </w:rPr>
        <w:t>“4 基本要求”提出了认知障碍康复训练场所、设施设备、人员、安全等方面的基本要求。</w:t>
      </w:r>
      <w:r>
        <w:rPr>
          <w:rFonts w:hint="eastAsia" w:ascii="Times New Roman" w:hAnsi="Times New Roman" w:eastAsia="仿宋" w:cs="Times New Roman"/>
          <w:b w:val="0"/>
          <w:bCs w:val="0"/>
          <w:color w:val="auto"/>
          <w:highlight w:val="none"/>
          <w:lang w:val="en-US" w:eastAsia="zh-CN"/>
        </w:rPr>
        <w:t>该章节的确定依据为DB32/T 4457—2023《养老机构认知障碍照护专区设置与服务规范》的相关要求以及对我省多个养老机构的实际工作调研情况。</w:t>
      </w:r>
    </w:p>
    <w:p w14:paraId="5EF58CDB">
      <w:pPr>
        <w:pStyle w:val="3"/>
        <w:ind w:left="0" w:firstLine="640"/>
        <w:rPr>
          <w:rFonts w:hint="eastAsia" w:ascii="Times New Roman" w:hAnsi="Times New Roman" w:eastAsia="仿宋" w:cs="Times New Roman"/>
          <w:b w:val="0"/>
          <w:bCs w:val="0"/>
          <w:color w:val="000000" w:themeColor="text1"/>
          <w:lang w:val="en-US" w:eastAsia="zh-CN"/>
          <w14:textFill>
            <w14:solidFill>
              <w14:schemeClr w14:val="tx1"/>
            </w14:solidFill>
          </w14:textFill>
        </w:rPr>
      </w:pPr>
      <w:r>
        <w:rPr>
          <w:rFonts w:hint="eastAsia" w:ascii="Times New Roman" w:hAnsi="Times New Roman" w:eastAsia="仿宋" w:cs="Times New Roman"/>
          <w:b w:val="0"/>
          <w:bCs w:val="0"/>
          <w:color w:val="000000" w:themeColor="text1"/>
          <w:lang w:val="en-US" w:eastAsia="zh-CN"/>
          <w14:textFill>
            <w14:solidFill>
              <w14:schemeClr w14:val="tx1"/>
            </w14:solidFill>
          </w14:textFill>
        </w:rPr>
        <w:t>（三）服务流程</w:t>
      </w:r>
    </w:p>
    <w:p w14:paraId="30F6C744">
      <w:pPr>
        <w:pStyle w:val="3"/>
        <w:ind w:left="0" w:firstLine="640"/>
        <w:rPr>
          <w:rFonts w:hint="default" w:ascii="Times New Roman" w:hAnsi="Times New Roman" w:eastAsia="仿宋" w:cs="Times New Roman"/>
          <w:b w:val="0"/>
          <w:bCs w:val="0"/>
          <w:color w:val="auto"/>
          <w:lang w:val="en-US" w:eastAsia="zh-CN"/>
        </w:rPr>
      </w:pPr>
      <w:r>
        <w:rPr>
          <w:rFonts w:hint="eastAsia" w:ascii="Times New Roman" w:hAnsi="Times New Roman" w:eastAsia="仿宋" w:cs="Times New Roman"/>
          <w:b w:val="0"/>
          <w:bCs w:val="0"/>
          <w:color w:val="000000" w:themeColor="text1"/>
          <w:lang w:val="en-US" w:eastAsia="zh-CN"/>
          <w14:textFill>
            <w14:solidFill>
              <w14:schemeClr w14:val="tx1"/>
            </w14:solidFill>
          </w14:textFill>
        </w:rPr>
        <w:t>“5 服务流程”给出了老年人康复训练服务流程图，其中包括认知功能和需求评估、制定康复训练计</w:t>
      </w:r>
      <w:r>
        <w:rPr>
          <w:rFonts w:hint="eastAsia" w:ascii="Times New Roman" w:hAnsi="Times New Roman" w:eastAsia="仿宋" w:cs="Times New Roman"/>
          <w:b w:val="0"/>
          <w:bCs w:val="0"/>
          <w:color w:val="auto"/>
          <w:lang w:val="en-US" w:eastAsia="zh-CN"/>
        </w:rPr>
        <w:t>划、实施康复、阶段性评估、康复总结、康复档案归档等步骤。该章节的确定依据为对我省多个养老机构的实际工作调研情况。</w:t>
      </w:r>
    </w:p>
    <w:p w14:paraId="164FEF8E">
      <w:pPr>
        <w:pStyle w:val="3"/>
        <w:ind w:left="0" w:firstLine="640"/>
        <w:rPr>
          <w:rFonts w:hint="eastAsia" w:ascii="Times New Roman" w:hAnsi="Times New Roman" w:eastAsia="仿宋" w:cs="Times New Roman"/>
          <w:b w:val="0"/>
          <w:bCs w:val="0"/>
          <w:color w:val="000000" w:themeColor="text1"/>
          <w:lang w:val="en-US" w:eastAsia="zh-CN"/>
          <w14:textFill>
            <w14:solidFill>
              <w14:schemeClr w14:val="tx1"/>
            </w14:solidFill>
          </w14:textFill>
        </w:rPr>
      </w:pPr>
      <w:r>
        <w:rPr>
          <w:rFonts w:hint="eastAsia" w:ascii="Times New Roman" w:hAnsi="Times New Roman" w:eastAsia="仿宋" w:cs="Times New Roman"/>
          <w:b w:val="0"/>
          <w:bCs w:val="0"/>
          <w:color w:val="000000" w:themeColor="text1"/>
          <w:lang w:val="en-US" w:eastAsia="zh-CN"/>
          <w14:textFill>
            <w14:solidFill>
              <w14:schemeClr w14:val="tx1"/>
            </w14:solidFill>
          </w14:textFill>
        </w:rPr>
        <w:t>（四）服务内容和要求</w:t>
      </w:r>
    </w:p>
    <w:p w14:paraId="74A17A30">
      <w:pPr>
        <w:pStyle w:val="3"/>
        <w:ind w:left="0" w:firstLine="640"/>
        <w:rPr>
          <w:rFonts w:hint="default" w:ascii="Times New Roman" w:hAnsi="Times New Roman" w:eastAsia="仿宋" w:cs="Times New Roman"/>
          <w:b w:val="0"/>
          <w:bCs w:val="0"/>
          <w:color w:val="000000" w:themeColor="text1"/>
          <w:lang w:val="en-US" w:eastAsia="zh-CN"/>
          <w14:textFill>
            <w14:solidFill>
              <w14:schemeClr w14:val="tx1"/>
            </w14:solidFill>
          </w14:textFill>
        </w:rPr>
      </w:pPr>
      <w:r>
        <w:rPr>
          <w:rFonts w:hint="eastAsia" w:ascii="Times New Roman" w:hAnsi="Times New Roman" w:eastAsia="仿宋" w:cs="Times New Roman"/>
          <w:b w:val="0"/>
          <w:bCs w:val="0"/>
          <w:color w:val="000000" w:themeColor="text1"/>
          <w:lang w:val="en-US" w:eastAsia="zh-CN"/>
          <w14:textFill>
            <w14:solidFill>
              <w14:schemeClr w14:val="tx1"/>
            </w14:solidFill>
          </w14:textFill>
        </w:rPr>
        <w:t>“6 服务内容和要求”给出了认知功能、需求和风险评估、制定康复训练计划</w:t>
      </w:r>
      <w:r>
        <w:rPr>
          <w:rFonts w:hint="eastAsia" w:ascii="Times New Roman" w:hAnsi="Times New Roman" w:eastAsia="仿宋" w:cs="Times New Roman"/>
          <w:b w:val="0"/>
          <w:bCs w:val="0"/>
          <w:color w:val="auto"/>
          <w:lang w:val="en-US" w:eastAsia="zh-CN"/>
        </w:rPr>
        <w:t>、实施康复训练、阶</w:t>
      </w:r>
      <w:r>
        <w:rPr>
          <w:rFonts w:hint="eastAsia" w:ascii="Times New Roman" w:hAnsi="Times New Roman" w:eastAsia="仿宋" w:cs="Times New Roman"/>
          <w:b w:val="0"/>
          <w:bCs w:val="0"/>
          <w:color w:val="000000" w:themeColor="text1"/>
          <w:lang w:val="en-US" w:eastAsia="zh-CN"/>
          <w14:textFill>
            <w14:solidFill>
              <w14:schemeClr w14:val="tx1"/>
            </w14:solidFill>
          </w14:textFill>
        </w:rPr>
        <w:t>段性评估、康复总结等服务内容和要求。本章节的确定依据为《失智老人照护师》《阿尔茨海默病精神运动康复照护指导手册》《失智症照护指南》《实用老年护理全书》等书籍以及对养老机构认知障碍康复工作实际的调研。</w:t>
      </w:r>
    </w:p>
    <w:p w14:paraId="0A4441DC">
      <w:pPr>
        <w:pStyle w:val="3"/>
        <w:ind w:left="0" w:firstLine="640"/>
        <w:rPr>
          <w:rFonts w:hint="eastAsia" w:ascii="Times New Roman" w:hAnsi="Times New Roman" w:eastAsia="仿宋" w:cs="Times New Roman"/>
          <w:b w:val="0"/>
          <w:bCs w:val="0"/>
          <w:color w:val="000000" w:themeColor="text1"/>
          <w:lang w:val="en-US" w:eastAsia="zh-CN"/>
          <w14:textFill>
            <w14:solidFill>
              <w14:schemeClr w14:val="tx1"/>
            </w14:solidFill>
          </w14:textFill>
        </w:rPr>
      </w:pPr>
      <w:r>
        <w:rPr>
          <w:rFonts w:hint="eastAsia" w:ascii="Times New Roman" w:hAnsi="Times New Roman" w:eastAsia="仿宋" w:cs="Times New Roman"/>
          <w:b w:val="0"/>
          <w:bCs w:val="0"/>
          <w:color w:val="000000" w:themeColor="text1"/>
          <w:lang w:val="en-US" w:eastAsia="zh-CN"/>
          <w14:textFill>
            <w14:solidFill>
              <w14:schemeClr w14:val="tx1"/>
            </w14:solidFill>
          </w14:textFill>
        </w:rPr>
        <w:t>“6.3实施康复”给出了康复实施过程中的基本要求，以及认知功能训练、言语及吞咽功能训练、作业训练、运动功能训练、沟通和社交训练等针对认知障碍老年人康复训练的内容和要求。</w:t>
      </w:r>
    </w:p>
    <w:p w14:paraId="4C969C86">
      <w:pPr>
        <w:pStyle w:val="3"/>
        <w:ind w:left="0" w:firstLine="640"/>
        <w:rPr>
          <w:rFonts w:hint="default" w:ascii="Times New Roman" w:hAnsi="Times New Roman" w:eastAsia="仿宋" w:cs="Times New Roman"/>
          <w:b w:val="0"/>
          <w:bCs w:val="0"/>
          <w:color w:val="auto"/>
          <w:lang w:val="en-US" w:eastAsia="zh-CN"/>
        </w:rPr>
      </w:pPr>
      <w:r>
        <w:rPr>
          <w:rFonts w:hint="eastAsia" w:ascii="Times New Roman" w:hAnsi="Times New Roman" w:eastAsia="仿宋" w:cs="Times New Roman"/>
          <w:b w:val="0"/>
          <w:bCs w:val="0"/>
          <w:color w:val="auto"/>
          <w:lang w:val="en-US" w:eastAsia="zh-CN"/>
        </w:rPr>
        <w:t>6.3.2康复训练内容及方法中给出了认知功能训练、言语及吞咽功能训练、作业训练、运动功能训练、沟通和社交训练等康复训练的内容和方法。</w:t>
      </w:r>
    </w:p>
    <w:p w14:paraId="58E2966B">
      <w:pPr>
        <w:pStyle w:val="3"/>
        <w:ind w:left="0" w:firstLine="640"/>
        <w:rPr>
          <w:rFonts w:hint="eastAsia" w:ascii="Times New Roman" w:hAnsi="Times New Roman" w:eastAsia="仿宋" w:cs="Times New Roman"/>
          <w:b w:val="0"/>
          <w:bCs w:val="0"/>
          <w:color w:val="000000" w:themeColor="text1"/>
          <w:lang w:val="en-US" w:eastAsia="zh-CN"/>
          <w14:textFill>
            <w14:solidFill>
              <w14:schemeClr w14:val="tx1"/>
            </w14:solidFill>
          </w14:textFill>
        </w:rPr>
      </w:pPr>
      <w:r>
        <w:rPr>
          <w:rFonts w:hint="eastAsia" w:ascii="Times New Roman" w:hAnsi="Times New Roman" w:eastAsia="仿宋" w:cs="Times New Roman"/>
          <w:b w:val="0"/>
          <w:bCs w:val="0"/>
          <w:color w:val="000000" w:themeColor="text1"/>
          <w:lang w:val="en-US" w:eastAsia="zh-CN"/>
          <w14:textFill>
            <w14:solidFill>
              <w14:schemeClr w14:val="tx1"/>
            </w14:solidFill>
          </w14:textFill>
        </w:rPr>
        <w:t>“6.3.2.1认知功能训练”给出了定向力训练、记忆力训练、计算力训练、语言能力训练、思维能力训练、感知能力和社会情感能力训练的方法和要求。</w:t>
      </w:r>
    </w:p>
    <w:p w14:paraId="21181A32">
      <w:pPr>
        <w:pStyle w:val="3"/>
        <w:ind w:left="0" w:firstLine="640"/>
        <w:rPr>
          <w:rFonts w:hint="eastAsia" w:ascii="Times New Roman" w:hAnsi="Times New Roman" w:eastAsia="仿宋" w:cs="Times New Roman"/>
          <w:b w:val="0"/>
          <w:bCs w:val="0"/>
          <w:color w:val="000000" w:themeColor="text1"/>
          <w:lang w:val="en-US" w:eastAsia="zh-CN"/>
          <w14:textFill>
            <w14:solidFill>
              <w14:schemeClr w14:val="tx1"/>
            </w14:solidFill>
          </w14:textFill>
        </w:rPr>
      </w:pPr>
      <w:r>
        <w:rPr>
          <w:rFonts w:hint="eastAsia" w:ascii="Times New Roman" w:hAnsi="Times New Roman" w:eastAsia="仿宋" w:cs="Times New Roman"/>
          <w:b w:val="0"/>
          <w:bCs w:val="0"/>
          <w:color w:val="000000" w:themeColor="text1"/>
          <w:lang w:val="en-US" w:eastAsia="zh-CN"/>
          <w14:textFill>
            <w14:solidFill>
              <w14:schemeClr w14:val="tx1"/>
            </w14:solidFill>
          </w14:textFill>
        </w:rPr>
        <w:t>“6.3.2.2言语及吞咽功能训练”给出了发音训练、语音训练、吞咽功能训练、日常交流能力训练的方法和要求。</w:t>
      </w:r>
    </w:p>
    <w:p w14:paraId="41EEBC1C">
      <w:pPr>
        <w:pStyle w:val="3"/>
        <w:ind w:left="0" w:firstLine="640"/>
        <w:rPr>
          <w:rFonts w:hint="eastAsia" w:ascii="Times New Roman" w:hAnsi="Times New Roman" w:eastAsia="仿宋" w:cs="Times New Roman"/>
          <w:b w:val="0"/>
          <w:bCs w:val="0"/>
          <w:color w:val="000000" w:themeColor="text1"/>
          <w:lang w:val="en-US" w:eastAsia="zh-CN"/>
          <w14:textFill>
            <w14:solidFill>
              <w14:schemeClr w14:val="tx1"/>
            </w14:solidFill>
          </w14:textFill>
        </w:rPr>
      </w:pPr>
      <w:r>
        <w:rPr>
          <w:rFonts w:hint="eastAsia" w:ascii="Times New Roman" w:hAnsi="Times New Roman" w:eastAsia="仿宋" w:cs="Times New Roman"/>
          <w:b w:val="0"/>
          <w:bCs w:val="0"/>
          <w:color w:val="000000" w:themeColor="text1"/>
          <w:lang w:val="en-US" w:eastAsia="zh-CN"/>
          <w14:textFill>
            <w14:solidFill>
              <w14:schemeClr w14:val="tx1"/>
            </w14:solidFill>
          </w14:textFill>
        </w:rPr>
        <w:t>“6.3.2.3作业训练”给出了日常生活能力训练、手工训练、被动照料训练的方法和要求。</w:t>
      </w:r>
    </w:p>
    <w:p w14:paraId="3B21E745">
      <w:pPr>
        <w:pStyle w:val="3"/>
        <w:ind w:left="0" w:firstLine="640"/>
        <w:rPr>
          <w:rFonts w:hint="eastAsia" w:ascii="Times New Roman" w:hAnsi="Times New Roman" w:eastAsia="仿宋" w:cs="Times New Roman"/>
          <w:b w:val="0"/>
          <w:bCs w:val="0"/>
          <w:color w:val="000000" w:themeColor="text1"/>
          <w:lang w:val="en-US" w:eastAsia="zh-CN"/>
          <w14:textFill>
            <w14:solidFill>
              <w14:schemeClr w14:val="tx1"/>
            </w14:solidFill>
          </w14:textFill>
        </w:rPr>
      </w:pPr>
      <w:r>
        <w:rPr>
          <w:rFonts w:hint="eastAsia" w:ascii="Times New Roman" w:hAnsi="Times New Roman" w:eastAsia="仿宋" w:cs="Times New Roman"/>
          <w:b w:val="0"/>
          <w:bCs w:val="0"/>
          <w:color w:val="000000" w:themeColor="text1"/>
          <w:lang w:val="en-US" w:eastAsia="zh-CN"/>
          <w14:textFill>
            <w14:solidFill>
              <w14:schemeClr w14:val="tx1"/>
            </w14:solidFill>
          </w14:textFill>
        </w:rPr>
        <w:t>“6.3.2.4运动功能训练”给出了耐力训练、静态抗阻力量训练、改善关节灵活度训练、平衡及协调能力训练的方法和要求。</w:t>
      </w:r>
    </w:p>
    <w:p w14:paraId="55D3B7BA">
      <w:pPr>
        <w:pStyle w:val="3"/>
        <w:ind w:left="0" w:firstLine="640"/>
        <w:rPr>
          <w:rFonts w:hint="default" w:ascii="Times New Roman" w:hAnsi="Times New Roman" w:eastAsia="仿宋" w:cs="Times New Roman"/>
          <w:b w:val="0"/>
          <w:bCs w:val="0"/>
          <w:color w:val="000000" w:themeColor="text1"/>
          <w:lang w:val="en-US" w:eastAsia="zh-CN"/>
          <w14:textFill>
            <w14:solidFill>
              <w14:schemeClr w14:val="tx1"/>
            </w14:solidFill>
          </w14:textFill>
        </w:rPr>
      </w:pPr>
      <w:r>
        <w:rPr>
          <w:rFonts w:hint="eastAsia" w:ascii="Times New Roman" w:hAnsi="Times New Roman" w:eastAsia="仿宋" w:cs="Times New Roman"/>
          <w:b w:val="0"/>
          <w:bCs w:val="0"/>
          <w:color w:val="000000" w:themeColor="text1"/>
          <w:lang w:val="en-US" w:eastAsia="zh-CN"/>
          <w14:textFill>
            <w14:solidFill>
              <w14:schemeClr w14:val="tx1"/>
            </w14:solidFill>
          </w14:textFill>
        </w:rPr>
        <w:t>“6.3.2.5沟通和社交训练”给出了对话训练、社交情境训练的方法和要求。</w:t>
      </w:r>
    </w:p>
    <w:p w14:paraId="5F619DFC">
      <w:pPr>
        <w:pStyle w:val="3"/>
        <w:ind w:left="0" w:firstLine="640"/>
        <w:rPr>
          <w:rFonts w:hint="default" w:ascii="Times New Roman" w:hAnsi="Times New Roman" w:eastAsia="仿宋" w:cs="Times New Roman"/>
          <w:b w:val="0"/>
          <w:bCs w:val="0"/>
          <w:color w:val="000000" w:themeColor="text1"/>
          <w:lang w:val="en-US" w:eastAsia="zh-CN"/>
          <w14:textFill>
            <w14:solidFill>
              <w14:schemeClr w14:val="tx1"/>
            </w14:solidFill>
          </w14:textFill>
        </w:rPr>
      </w:pPr>
      <w:r>
        <w:rPr>
          <w:rFonts w:hint="eastAsia" w:ascii="Times New Roman" w:hAnsi="Times New Roman" w:eastAsia="仿宋" w:cs="Times New Roman"/>
          <w:b w:val="0"/>
          <w:bCs w:val="0"/>
          <w:color w:val="000000" w:themeColor="text1"/>
          <w:lang w:val="en-US" w:eastAsia="zh-CN"/>
          <w14:textFill>
            <w14:solidFill>
              <w14:schemeClr w14:val="tx1"/>
            </w14:solidFill>
          </w14:textFill>
        </w:rPr>
        <w:t>（五）档案管理</w:t>
      </w:r>
    </w:p>
    <w:p w14:paraId="2180D02C">
      <w:pPr>
        <w:pStyle w:val="3"/>
        <w:ind w:left="0" w:firstLine="640"/>
        <w:rPr>
          <w:rFonts w:hint="default" w:ascii="Times New Roman" w:hAnsi="Times New Roman" w:eastAsia="仿宋" w:cs="Times New Roman"/>
          <w:b w:val="0"/>
          <w:bCs w:val="0"/>
          <w:color w:val="000000" w:themeColor="text1"/>
          <w:lang w:val="en-US" w:eastAsia="zh-CN"/>
          <w14:textFill>
            <w14:solidFill>
              <w14:schemeClr w14:val="tx1"/>
            </w14:solidFill>
          </w14:textFill>
        </w:rPr>
      </w:pPr>
      <w:r>
        <w:rPr>
          <w:rFonts w:hint="eastAsia" w:ascii="Times New Roman" w:hAnsi="Times New Roman" w:eastAsia="仿宋" w:cs="Times New Roman"/>
          <w:b w:val="0"/>
          <w:bCs w:val="0"/>
          <w:color w:val="000000" w:themeColor="text1"/>
          <w:lang w:val="en-US" w:eastAsia="zh-CN"/>
          <w14:textFill>
            <w14:solidFill>
              <w14:schemeClr w14:val="tx1"/>
            </w14:solidFill>
          </w14:textFill>
        </w:rPr>
        <w:t>本章规定了康复训练档案应包含老年人基本信息、康复训练计划、康复训练知情同意书及风险告知书、康复训练记录、康复训练总结等内容，应归入老年人健康档案，统一保存。</w:t>
      </w:r>
      <w:r>
        <w:rPr>
          <w:rFonts w:hint="eastAsia" w:ascii="Times New Roman" w:hAnsi="Times New Roman" w:eastAsia="仿宋" w:cs="Times New Roman"/>
          <w:b w:val="0"/>
          <w:bCs w:val="0"/>
          <w:color w:val="auto"/>
          <w:lang w:val="en-US" w:eastAsia="zh-CN"/>
        </w:rPr>
        <w:t>该章节的确定依据为对我省多个养老机构的实际工作调研情况。</w:t>
      </w:r>
    </w:p>
    <w:p w14:paraId="6E81BAD8">
      <w:pPr>
        <w:pStyle w:val="3"/>
        <w:ind w:left="0" w:firstLine="640"/>
        <w:rPr>
          <w:rFonts w:hint="default" w:ascii="Times New Roman" w:hAnsi="Times New Roman" w:eastAsia="仿宋" w:cs="Times New Roman"/>
          <w:b w:val="0"/>
          <w:bCs w:val="0"/>
          <w:color w:val="000000" w:themeColor="text1"/>
          <w:lang w:val="en-US" w:eastAsia="zh-CN"/>
          <w14:textFill>
            <w14:solidFill>
              <w14:schemeClr w14:val="tx1"/>
            </w14:solidFill>
          </w14:textFill>
        </w:rPr>
      </w:pPr>
      <w:r>
        <w:rPr>
          <w:rFonts w:hint="eastAsia" w:ascii="Times New Roman" w:hAnsi="Times New Roman" w:eastAsia="仿宋" w:cs="Times New Roman"/>
          <w:b w:val="0"/>
          <w:bCs w:val="0"/>
          <w:color w:val="000000" w:themeColor="text1"/>
          <w:lang w:val="en-US" w:eastAsia="zh-CN"/>
          <w14:textFill>
            <w14:solidFill>
              <w14:schemeClr w14:val="tx1"/>
            </w14:solidFill>
          </w14:textFill>
        </w:rPr>
        <w:t>（六）服务评价与改进</w:t>
      </w:r>
    </w:p>
    <w:p w14:paraId="6CA36735">
      <w:pPr>
        <w:pStyle w:val="3"/>
        <w:ind w:left="0" w:firstLine="640"/>
        <w:rPr>
          <w:rFonts w:hint="default" w:ascii="Times New Roman" w:hAnsi="Times New Roman" w:eastAsia="仿宋" w:cs="Times New Roman"/>
          <w:b w:val="0"/>
          <w:bCs w:val="0"/>
          <w:color w:val="000000" w:themeColor="text1"/>
          <w:lang w:val="en-US" w:eastAsia="zh-CN"/>
          <w14:textFill>
            <w14:solidFill>
              <w14:schemeClr w14:val="tx1"/>
            </w14:solidFill>
          </w14:textFill>
        </w:rPr>
      </w:pPr>
      <w:r>
        <w:rPr>
          <w:rFonts w:hint="eastAsia" w:ascii="Times New Roman" w:hAnsi="Times New Roman" w:eastAsia="仿宋" w:cs="Times New Roman"/>
          <w:b w:val="0"/>
          <w:bCs w:val="0"/>
          <w:color w:val="000000" w:themeColor="text1"/>
          <w:lang w:val="en-US" w:eastAsia="zh-CN"/>
          <w14:textFill>
            <w14:solidFill>
              <w14:schemeClr w14:val="tx1"/>
            </w14:solidFill>
          </w14:textFill>
        </w:rPr>
        <w:t>本章对养老机构认知障碍老年人康复训练服务的服务评价、持续改进、意见反馈和处理等提出要求。该章节的确定依据为GB/T 35796—2017《养老机构服务质量基本规范》第7章。</w:t>
      </w:r>
    </w:p>
    <w:p w14:paraId="4D5DA042">
      <w:pPr>
        <w:pStyle w:val="3"/>
        <w:ind w:left="0" w:firstLine="640"/>
        <w:rPr>
          <w:rFonts w:hint="eastAsia" w:ascii="Times New Roman" w:hAnsi="Times New Roman" w:eastAsia="仿宋" w:cs="Times New Roman"/>
          <w:b w:val="0"/>
          <w:bCs w:val="0"/>
          <w:color w:val="000000" w:themeColor="text1"/>
          <w:lang w:val="en-US" w:eastAsia="zh-CN"/>
          <w14:textFill>
            <w14:solidFill>
              <w14:schemeClr w14:val="tx1"/>
            </w14:solidFill>
          </w14:textFill>
        </w:rPr>
      </w:pPr>
      <w:r>
        <w:rPr>
          <w:rFonts w:hint="eastAsia" w:ascii="Times New Roman" w:hAnsi="Times New Roman" w:eastAsia="仿宋" w:cs="Times New Roman"/>
          <w:b w:val="0"/>
          <w:bCs w:val="0"/>
          <w:color w:val="000000" w:themeColor="text1"/>
          <w:lang w:val="en-US" w:eastAsia="zh-CN"/>
          <w14:textFill>
            <w14:solidFill>
              <w14:schemeClr w14:val="tx1"/>
            </w14:solidFill>
          </w14:textFill>
        </w:rPr>
        <w:t>（七）资料性附录</w:t>
      </w:r>
    </w:p>
    <w:p w14:paraId="6C769361">
      <w:pPr>
        <w:pStyle w:val="3"/>
        <w:ind w:left="0" w:firstLine="640"/>
        <w:rPr>
          <w:rFonts w:hint="eastAsia" w:ascii="Times New Roman" w:hAnsi="Times New Roman" w:eastAsia="仿宋" w:cs="Times New Roman"/>
          <w:b w:val="0"/>
          <w:bCs w:val="0"/>
          <w:color w:val="000000" w:themeColor="text1"/>
          <w:kern w:val="2"/>
          <w:sz w:val="32"/>
          <w:szCs w:val="32"/>
          <w:lang w:val="en-US" w:eastAsia="zh-CN" w:bidi="zh-CN"/>
          <w14:textFill>
            <w14:solidFill>
              <w14:schemeClr w14:val="tx1"/>
            </w14:solidFill>
          </w14:textFill>
        </w:rPr>
      </w:pPr>
      <w:r>
        <w:rPr>
          <w:rFonts w:hint="eastAsia" w:ascii="Times New Roman" w:hAnsi="Times New Roman" w:eastAsia="仿宋" w:cs="Times New Roman"/>
          <w:b w:val="0"/>
          <w:bCs w:val="0"/>
          <w:color w:val="000000" w:themeColor="text1"/>
          <w:lang w:val="en-US" w:eastAsia="zh-CN"/>
          <w14:textFill>
            <w14:solidFill>
              <w14:schemeClr w14:val="tx1"/>
            </w14:solidFill>
          </w14:textFill>
        </w:rPr>
        <w:t>“资料性附录”给出了附录A《认知障碍康复训练计划书》模板，供养老机构在实际工作中参考使用。</w:t>
      </w:r>
    </w:p>
    <w:p w14:paraId="247F3E95">
      <w:pPr>
        <w:pStyle w:val="3"/>
        <w:numPr>
          <w:ilvl w:val="0"/>
          <w:numId w:val="2"/>
        </w:numPr>
        <w:ind w:left="0"/>
        <w:rPr>
          <w:rFonts w:ascii="Times New Roman" w:hAnsi="Times New Roman" w:eastAsia="黑体" w:cs="Times New Roman"/>
          <w:b w:val="0"/>
          <w:bCs w:val="0"/>
          <w:color w:val="auto"/>
          <w:lang w:val="en-US"/>
        </w:rPr>
      </w:pPr>
      <w:r>
        <w:rPr>
          <w:rFonts w:hint="eastAsia" w:ascii="Times New Roman" w:hAnsi="Times New Roman" w:eastAsia="黑体" w:cs="Times New Roman"/>
          <w:b w:val="0"/>
          <w:bCs w:val="0"/>
          <w:color w:val="auto"/>
          <w:lang w:val="en-US" w:eastAsia="zh-CN"/>
        </w:rPr>
        <w:t>重大分歧意见的处理过程和依据</w:t>
      </w:r>
    </w:p>
    <w:p w14:paraId="0DB4225C">
      <w:pPr>
        <w:pStyle w:val="3"/>
        <w:numPr>
          <w:ilvl w:val="0"/>
          <w:numId w:val="0"/>
        </w:numPr>
        <w:rPr>
          <w:rFonts w:hint="default" w:ascii="Times New Roman" w:hAnsi="Times New Roman" w:eastAsia="黑体" w:cs="Times New Roman"/>
          <w:b w:val="0"/>
          <w:bCs w:val="0"/>
          <w:color w:val="auto"/>
          <w:lang w:val="en-US"/>
        </w:rPr>
      </w:pPr>
      <w:r>
        <w:rPr>
          <w:rFonts w:hint="eastAsia" w:ascii="Times New Roman" w:hAnsi="Times New Roman" w:eastAsia="黑体" w:cs="Times New Roman"/>
          <w:b w:val="0"/>
          <w:bCs w:val="0"/>
          <w:color w:val="auto"/>
          <w:lang w:val="en-US" w:eastAsia="zh-CN"/>
        </w:rPr>
        <w:t xml:space="preserve">   </w:t>
      </w:r>
      <w:r>
        <w:rPr>
          <w:rFonts w:hint="eastAsia" w:ascii="Times New Roman" w:hAnsi="Times New Roman" w:eastAsia="仿宋" w:cs="Times New Roman"/>
          <w:b w:val="0"/>
          <w:bCs w:val="0"/>
          <w:color w:val="auto"/>
          <w:lang w:val="en-US" w:eastAsia="zh-CN" w:bidi="ar-SA"/>
        </w:rPr>
        <w:t>无重大分歧意见。</w:t>
      </w:r>
    </w:p>
    <w:p w14:paraId="7F5DC27A">
      <w:pPr>
        <w:pStyle w:val="3"/>
        <w:numPr>
          <w:ilvl w:val="0"/>
          <w:numId w:val="2"/>
        </w:numPr>
        <w:ind w:left="0"/>
        <w:rPr>
          <w:rFonts w:ascii="Times New Roman" w:hAnsi="Times New Roman" w:eastAsia="黑体" w:cs="Times New Roman"/>
          <w:b w:val="0"/>
          <w:bCs w:val="0"/>
          <w:color w:val="auto"/>
          <w:lang w:val="en-US"/>
        </w:rPr>
      </w:pPr>
      <w:r>
        <w:rPr>
          <w:rFonts w:ascii="Times New Roman" w:hAnsi="Times New Roman" w:eastAsia="黑体" w:cs="Times New Roman"/>
          <w:b w:val="0"/>
          <w:bCs w:val="0"/>
          <w:color w:val="auto"/>
          <w:lang w:val="en-US"/>
        </w:rPr>
        <w:t>与相关法律法规和国家标准的关系</w:t>
      </w:r>
    </w:p>
    <w:p w14:paraId="4A335132">
      <w:pPr>
        <w:spacing w:line="600" w:lineRule="exact"/>
        <w:ind w:firstLine="640" w:firstLineChars="200"/>
        <w:jc w:val="left"/>
        <w:rPr>
          <w:rFonts w:hint="eastAsia" w:ascii="Times New Roman" w:hAnsi="Times New Roman" w:eastAsia="仿宋"/>
          <w:color w:val="auto"/>
          <w:sz w:val="32"/>
          <w:szCs w:val="32"/>
        </w:rPr>
      </w:pPr>
      <w:r>
        <w:rPr>
          <w:rFonts w:hint="eastAsia" w:ascii="Times New Roman" w:hAnsi="Times New Roman" w:eastAsia="仿宋"/>
          <w:color w:val="auto"/>
          <w:sz w:val="32"/>
          <w:szCs w:val="32"/>
        </w:rPr>
        <w:t>目前，我国已颁布实施的与本标准有关的法律法规及强制性国家标准、行业标准、江苏省地方标准有《中共中央国务院关于加强新时代老龄工作的意见》、GB/T 35796-2017《养老机构服务质量基本规范》、GB 38600-2019《养老机构服务安全基本规范》、GB/T 37276-2018《养老机构等级划分与评定》、MZ/T 171-2021《养老机构生活照料操作规范》、MZ/T 174-2021《养老机构康复辅助器具基本配置》、DB32/T 3460-2018《养老机构医养结合服务规范》、DB32/T 4376-2022《养老机构服务安全风险应急处置规范》、DB32/T 4457-2023《养老机构认知障碍照护专区设置与服务规范》等。</w:t>
      </w:r>
    </w:p>
    <w:p w14:paraId="06AB8ACD">
      <w:pPr>
        <w:spacing w:line="600" w:lineRule="exact"/>
        <w:ind w:firstLine="640" w:firstLineChars="200"/>
        <w:jc w:val="left"/>
        <w:rPr>
          <w:rFonts w:ascii="Times New Roman" w:hAnsi="Times New Roman" w:eastAsia="仿宋"/>
          <w:color w:val="auto"/>
          <w:highlight w:val="yellow"/>
        </w:rPr>
      </w:pPr>
      <w:r>
        <w:rPr>
          <w:rFonts w:hint="eastAsia" w:ascii="Times New Roman" w:hAnsi="Times New Roman" w:eastAsia="仿宋"/>
          <w:color w:val="auto"/>
          <w:sz w:val="32"/>
          <w:szCs w:val="32"/>
        </w:rPr>
        <w:t>本标准与以上政策文件、标准协调一致。</w:t>
      </w:r>
    </w:p>
    <w:p w14:paraId="68E41D4B">
      <w:pPr>
        <w:pStyle w:val="3"/>
        <w:numPr>
          <w:ilvl w:val="0"/>
          <w:numId w:val="2"/>
        </w:numPr>
        <w:ind w:left="0"/>
        <w:rPr>
          <w:rFonts w:ascii="Times New Roman" w:hAnsi="Times New Roman" w:eastAsia="黑体" w:cs="Times New Roman"/>
          <w:b w:val="0"/>
          <w:bCs w:val="0"/>
          <w:color w:val="auto"/>
          <w:lang w:val="en-US"/>
        </w:rPr>
      </w:pPr>
      <w:r>
        <w:rPr>
          <w:rFonts w:ascii="Times New Roman" w:hAnsi="Times New Roman" w:eastAsia="黑体" w:cs="Times New Roman"/>
          <w:b w:val="0"/>
          <w:bCs w:val="0"/>
          <w:color w:val="auto"/>
          <w:lang w:val="en-US"/>
        </w:rPr>
        <w:t>推广</w:t>
      </w:r>
      <w:r>
        <w:rPr>
          <w:rFonts w:hint="eastAsia" w:ascii="Times New Roman" w:hAnsi="Times New Roman" w:eastAsia="黑体" w:cs="Times New Roman"/>
          <w:b w:val="0"/>
          <w:bCs w:val="0"/>
          <w:color w:val="auto"/>
          <w:lang w:val="en-US" w:eastAsia="zh-CN"/>
        </w:rPr>
        <w:t>实施</w:t>
      </w:r>
      <w:r>
        <w:rPr>
          <w:rFonts w:ascii="Times New Roman" w:hAnsi="Times New Roman" w:eastAsia="黑体" w:cs="Times New Roman"/>
          <w:b w:val="0"/>
          <w:bCs w:val="0"/>
          <w:color w:val="auto"/>
          <w:lang w:val="en-US"/>
        </w:rPr>
        <w:t>建议</w:t>
      </w:r>
    </w:p>
    <w:p w14:paraId="5C4BC29B">
      <w:pPr>
        <w:spacing w:line="600" w:lineRule="exact"/>
        <w:ind w:firstLine="640" w:firstLineChars="200"/>
        <w:jc w:val="left"/>
        <w:rPr>
          <w:rFonts w:hint="eastAsia" w:ascii="Times New Roman" w:hAnsi="Times New Roman" w:eastAsia="仿宋"/>
          <w:color w:val="auto"/>
          <w:sz w:val="32"/>
          <w:szCs w:val="32"/>
          <w:lang w:val="en-US" w:eastAsia="zh-CN"/>
        </w:rPr>
      </w:pPr>
      <w:r>
        <w:rPr>
          <w:rFonts w:hint="eastAsia" w:ascii="Times New Roman" w:hAnsi="Times New Roman" w:eastAsia="仿宋"/>
          <w:color w:val="auto"/>
          <w:sz w:val="32"/>
          <w:szCs w:val="32"/>
          <w:lang w:val="en-US" w:eastAsia="zh-CN"/>
        </w:rPr>
        <w:t>江苏省民政厅拟采用如下措施，面向全省范围内的养老机构推动标准的实施</w:t>
      </w:r>
      <w:r>
        <w:rPr>
          <w:rFonts w:ascii="Times New Roman" w:hAnsi="Times New Roman" w:eastAsia="仿宋"/>
          <w:color w:val="auto"/>
          <w:sz w:val="32"/>
          <w:szCs w:val="32"/>
        </w:rPr>
        <w:t>，从而提高本标准普及率</w:t>
      </w:r>
      <w:r>
        <w:rPr>
          <w:rFonts w:hint="eastAsia" w:ascii="Times New Roman" w:hAnsi="Times New Roman" w:eastAsia="仿宋"/>
          <w:color w:val="auto"/>
          <w:sz w:val="32"/>
          <w:szCs w:val="32"/>
          <w:lang w:val="en-US" w:eastAsia="zh-CN"/>
        </w:rPr>
        <w:t>：</w:t>
      </w:r>
    </w:p>
    <w:p w14:paraId="6F041B55">
      <w:pPr>
        <w:spacing w:line="600" w:lineRule="exact"/>
        <w:ind w:firstLine="643" w:firstLineChars="200"/>
        <w:rPr>
          <w:rFonts w:hint="eastAsia" w:ascii="Times New Roman" w:hAnsi="Times New Roman" w:eastAsia="仿宋"/>
          <w:b/>
          <w:bCs/>
          <w:color w:val="auto"/>
          <w:sz w:val="32"/>
          <w:szCs w:val="32"/>
        </w:rPr>
      </w:pPr>
      <w:r>
        <w:rPr>
          <w:rFonts w:hint="eastAsia" w:ascii="Times New Roman" w:hAnsi="Times New Roman" w:eastAsia="仿宋"/>
          <w:b/>
          <w:bCs/>
          <w:color w:val="auto"/>
          <w:sz w:val="32"/>
          <w:szCs w:val="32"/>
          <w:lang w:eastAsia="zh-CN"/>
        </w:rPr>
        <w:t>（</w:t>
      </w:r>
      <w:r>
        <w:rPr>
          <w:rFonts w:hint="eastAsia" w:ascii="Times New Roman" w:hAnsi="Times New Roman" w:eastAsia="仿宋"/>
          <w:b/>
          <w:bCs/>
          <w:color w:val="auto"/>
          <w:sz w:val="32"/>
          <w:szCs w:val="32"/>
          <w:lang w:val="en-US" w:eastAsia="zh-CN"/>
        </w:rPr>
        <w:t>一</w:t>
      </w:r>
      <w:r>
        <w:rPr>
          <w:rFonts w:hint="eastAsia" w:ascii="Times New Roman" w:hAnsi="Times New Roman" w:eastAsia="仿宋"/>
          <w:b/>
          <w:bCs/>
          <w:color w:val="auto"/>
          <w:sz w:val="32"/>
          <w:szCs w:val="32"/>
          <w:lang w:eastAsia="zh-CN"/>
        </w:rPr>
        <w:t>）</w:t>
      </w:r>
      <w:r>
        <w:rPr>
          <w:rFonts w:hint="eastAsia" w:ascii="Times New Roman" w:hAnsi="Times New Roman" w:eastAsia="仿宋"/>
          <w:b/>
          <w:bCs/>
          <w:color w:val="auto"/>
          <w:sz w:val="32"/>
          <w:szCs w:val="32"/>
        </w:rPr>
        <w:t>宣贯培训</w:t>
      </w:r>
    </w:p>
    <w:p w14:paraId="61B94EDB">
      <w:pPr>
        <w:spacing w:line="600" w:lineRule="exact"/>
        <w:ind w:firstLine="640" w:firstLineChars="200"/>
        <w:rPr>
          <w:rFonts w:hint="eastAsia" w:ascii="Times New Roman" w:hAnsi="Times New Roman" w:eastAsia="仿宋"/>
          <w:color w:val="000000" w:themeColor="text1"/>
          <w:sz w:val="32"/>
          <w:szCs w:val="32"/>
          <w14:textFill>
            <w14:solidFill>
              <w14:schemeClr w14:val="tx1"/>
            </w14:solidFill>
          </w14:textFill>
        </w:rPr>
      </w:pPr>
      <w:r>
        <w:rPr>
          <w:rFonts w:hint="eastAsia" w:ascii="Times New Roman" w:hAnsi="Times New Roman" w:eastAsia="仿宋"/>
          <w:color w:val="000000" w:themeColor="text1"/>
          <w:sz w:val="32"/>
          <w:szCs w:val="32"/>
          <w:lang w:val="en-US" w:eastAsia="zh-CN"/>
          <w14:textFill>
            <w14:solidFill>
              <w14:schemeClr w14:val="tx1"/>
            </w14:solidFill>
          </w14:textFill>
        </w:rPr>
        <w:t>本标准发布实施后，江苏省民政厅</w:t>
      </w:r>
      <w:r>
        <w:rPr>
          <w:rFonts w:hint="eastAsia" w:ascii="Times New Roman" w:hAnsi="Times New Roman" w:eastAsia="仿宋"/>
          <w:color w:val="000000" w:themeColor="text1"/>
          <w:sz w:val="32"/>
          <w:szCs w:val="32"/>
          <w14:textFill>
            <w14:solidFill>
              <w14:schemeClr w14:val="tx1"/>
            </w14:solidFill>
          </w14:textFill>
        </w:rPr>
        <w:t>统一组织标准宣贯</w:t>
      </w:r>
      <w:r>
        <w:rPr>
          <w:rFonts w:hint="eastAsia" w:ascii="Times New Roman" w:hAnsi="Times New Roman" w:eastAsia="仿宋"/>
          <w:color w:val="000000" w:themeColor="text1"/>
          <w:sz w:val="32"/>
          <w:szCs w:val="32"/>
          <w:lang w:eastAsia="zh-CN"/>
          <w14:textFill>
            <w14:solidFill>
              <w14:schemeClr w14:val="tx1"/>
            </w14:solidFill>
          </w14:textFill>
        </w:rPr>
        <w:t>，江苏省质量和标准化研究院、无锡市新吴区人民政府江溪街道办事处、江苏康乐年华企业管理咨询有限公司、苏州市健康养老产业发展集团有限公司、无锡市新吴区江溪夕阳红休养中心</w:t>
      </w:r>
      <w:r>
        <w:rPr>
          <w:rFonts w:hint="eastAsia" w:ascii="Times New Roman" w:hAnsi="Times New Roman" w:eastAsia="仿宋"/>
          <w:color w:val="000000" w:themeColor="text1"/>
          <w:sz w:val="32"/>
          <w:szCs w:val="32"/>
          <w14:textFill>
            <w14:solidFill>
              <w14:schemeClr w14:val="tx1"/>
            </w14:solidFill>
          </w14:textFill>
        </w:rPr>
        <w:t>成立标准宣贯实施小组，</w:t>
      </w:r>
      <w:r>
        <w:rPr>
          <w:rFonts w:hint="eastAsia" w:ascii="Times New Roman" w:hAnsi="Times New Roman" w:eastAsia="仿宋"/>
          <w:color w:val="000000" w:themeColor="text1"/>
          <w:sz w:val="32"/>
          <w:szCs w:val="32"/>
          <w:lang w:val="en-US" w:eastAsia="zh-CN"/>
          <w14:textFill>
            <w14:solidFill>
              <w14:schemeClr w14:val="tx1"/>
            </w14:solidFill>
          </w14:textFill>
        </w:rPr>
        <w:t>借助民政部门等多方力量，</w:t>
      </w:r>
      <w:r>
        <w:rPr>
          <w:rFonts w:hint="eastAsia" w:ascii="Times New Roman" w:hAnsi="Times New Roman" w:eastAsia="仿宋"/>
          <w:color w:val="000000" w:themeColor="text1"/>
          <w:sz w:val="32"/>
          <w:szCs w:val="32"/>
          <w14:textFill>
            <w14:solidFill>
              <w14:schemeClr w14:val="tx1"/>
            </w14:solidFill>
          </w14:textFill>
        </w:rPr>
        <w:t>多渠道开展标准的宣传、普及工作，定期召开标准使用培训班，对使用单位及人员进行标准化相关内容培训。标准的宣贯工作不仅包括标准文本本身，还应包括标准的编制说明，使得标准使用者不仅了解标准文本中规定的内容，还了解本标准编制说明中对于标准制定背景、制定依据等内容，以利于标准的贯彻执行。</w:t>
      </w:r>
    </w:p>
    <w:p w14:paraId="25A3C843">
      <w:pPr>
        <w:spacing w:line="600" w:lineRule="exact"/>
        <w:ind w:firstLine="643" w:firstLineChars="200"/>
        <w:rPr>
          <w:rFonts w:hint="eastAsia" w:ascii="Times New Roman" w:hAnsi="Times New Roman" w:eastAsia="仿宋"/>
          <w:b/>
          <w:bCs/>
          <w:color w:val="000000" w:themeColor="text1"/>
          <w:sz w:val="32"/>
          <w:szCs w:val="32"/>
          <w14:textFill>
            <w14:solidFill>
              <w14:schemeClr w14:val="tx1"/>
            </w14:solidFill>
          </w14:textFill>
        </w:rPr>
      </w:pPr>
      <w:r>
        <w:rPr>
          <w:rFonts w:hint="eastAsia" w:ascii="Times New Roman" w:hAnsi="Times New Roman" w:eastAsia="仿宋"/>
          <w:b/>
          <w:bCs/>
          <w:color w:val="000000" w:themeColor="text1"/>
          <w:sz w:val="32"/>
          <w:szCs w:val="32"/>
          <w:lang w:eastAsia="zh-CN"/>
          <w14:textFill>
            <w14:solidFill>
              <w14:schemeClr w14:val="tx1"/>
            </w14:solidFill>
          </w14:textFill>
        </w:rPr>
        <w:t>（</w:t>
      </w:r>
      <w:r>
        <w:rPr>
          <w:rFonts w:hint="eastAsia" w:ascii="Times New Roman" w:hAnsi="Times New Roman" w:eastAsia="仿宋"/>
          <w:b/>
          <w:bCs/>
          <w:color w:val="000000" w:themeColor="text1"/>
          <w:sz w:val="32"/>
          <w:szCs w:val="32"/>
          <w:lang w:val="en-US" w:eastAsia="zh-CN"/>
          <w14:textFill>
            <w14:solidFill>
              <w14:schemeClr w14:val="tx1"/>
            </w14:solidFill>
          </w14:textFill>
        </w:rPr>
        <w:t>二</w:t>
      </w:r>
      <w:r>
        <w:rPr>
          <w:rFonts w:hint="eastAsia" w:ascii="Times New Roman" w:hAnsi="Times New Roman" w:eastAsia="仿宋"/>
          <w:b/>
          <w:bCs/>
          <w:color w:val="000000" w:themeColor="text1"/>
          <w:sz w:val="32"/>
          <w:szCs w:val="32"/>
          <w:lang w:eastAsia="zh-CN"/>
          <w14:textFill>
            <w14:solidFill>
              <w14:schemeClr w14:val="tx1"/>
            </w14:solidFill>
          </w14:textFill>
        </w:rPr>
        <w:t>）</w:t>
      </w:r>
      <w:r>
        <w:rPr>
          <w:rFonts w:hint="eastAsia" w:ascii="Times New Roman" w:hAnsi="Times New Roman" w:eastAsia="仿宋"/>
          <w:b/>
          <w:bCs/>
          <w:color w:val="000000" w:themeColor="text1"/>
          <w:sz w:val="32"/>
          <w:szCs w:val="32"/>
          <w14:textFill>
            <w14:solidFill>
              <w14:schemeClr w14:val="tx1"/>
            </w14:solidFill>
          </w14:textFill>
        </w:rPr>
        <w:t>监督检查</w:t>
      </w:r>
    </w:p>
    <w:p w14:paraId="21959184">
      <w:pPr>
        <w:spacing w:line="600" w:lineRule="exact"/>
        <w:ind w:firstLine="640" w:firstLineChars="200"/>
        <w:rPr>
          <w:rFonts w:hint="eastAsia" w:ascii="Times New Roman" w:hAnsi="Times New Roman" w:eastAsia="仿宋"/>
          <w:color w:val="auto"/>
          <w:sz w:val="32"/>
          <w:szCs w:val="32"/>
        </w:rPr>
      </w:pPr>
      <w:r>
        <w:rPr>
          <w:rFonts w:hint="eastAsia" w:ascii="Times New Roman" w:hAnsi="Times New Roman" w:eastAsia="仿宋"/>
          <w:color w:val="000000" w:themeColor="text1"/>
          <w:sz w:val="32"/>
          <w:szCs w:val="32"/>
          <w14:textFill>
            <w14:solidFill>
              <w14:schemeClr w14:val="tx1"/>
            </w14:solidFill>
          </w14:textFill>
        </w:rPr>
        <w:t>本标准</w:t>
      </w:r>
      <w:r>
        <w:rPr>
          <w:rFonts w:hint="eastAsia" w:ascii="Times New Roman" w:hAnsi="Times New Roman" w:eastAsia="仿宋"/>
          <w:color w:val="000000" w:themeColor="text1"/>
          <w:sz w:val="32"/>
          <w:szCs w:val="32"/>
          <w:lang w:val="en-US" w:eastAsia="zh-CN"/>
          <w14:textFill>
            <w14:solidFill>
              <w14:schemeClr w14:val="tx1"/>
            </w14:solidFill>
          </w14:textFill>
        </w:rPr>
        <w:t>发布</w:t>
      </w:r>
      <w:r>
        <w:rPr>
          <w:rFonts w:hint="eastAsia" w:ascii="Times New Roman" w:hAnsi="Times New Roman" w:eastAsia="仿宋"/>
          <w:color w:val="000000" w:themeColor="text1"/>
          <w:sz w:val="32"/>
          <w:szCs w:val="32"/>
          <w14:textFill>
            <w14:solidFill>
              <w14:schemeClr w14:val="tx1"/>
            </w14:solidFill>
          </w14:textFill>
        </w:rPr>
        <w:t>实施后，江苏省质量和标准化研究院、无锡市新吴区人民政府江溪街道办事处、江苏康乐年华企业管理咨询有限公司、苏州市健康养老产业发展集团有限公司、无锡市新吴区江溪夕阳红休养中心</w:t>
      </w:r>
      <w:r>
        <w:rPr>
          <w:rFonts w:hint="eastAsia" w:ascii="Times New Roman" w:hAnsi="Times New Roman" w:eastAsia="仿宋"/>
          <w:color w:val="000000" w:themeColor="text1"/>
          <w:sz w:val="32"/>
          <w:szCs w:val="32"/>
          <w:lang w:val="en-US" w:eastAsia="zh-CN"/>
          <w14:textFill>
            <w14:solidFill>
              <w14:schemeClr w14:val="tx1"/>
            </w14:solidFill>
          </w14:textFill>
        </w:rPr>
        <w:t>将</w:t>
      </w:r>
      <w:r>
        <w:rPr>
          <w:rFonts w:hint="eastAsia" w:ascii="Times New Roman" w:hAnsi="Times New Roman" w:eastAsia="仿宋"/>
          <w:color w:val="000000" w:themeColor="text1"/>
          <w:sz w:val="32"/>
          <w:szCs w:val="32"/>
          <w14:textFill>
            <w14:solidFill>
              <w14:schemeClr w14:val="tx1"/>
            </w14:solidFill>
          </w14:textFill>
        </w:rPr>
        <w:t>持续跟踪本标准实施情况，记录标准在实际应用中</w:t>
      </w:r>
      <w:r>
        <w:rPr>
          <w:rFonts w:hint="eastAsia" w:ascii="Times New Roman" w:hAnsi="Times New Roman" w:eastAsia="仿宋"/>
          <w:color w:val="auto"/>
          <w:sz w:val="32"/>
          <w:szCs w:val="32"/>
        </w:rPr>
        <w:t>的具体效果，对于实用性不强、适用性差的条款收集反馈信息，以便及时进行修订完善</w:t>
      </w:r>
      <w:r>
        <w:rPr>
          <w:rFonts w:hint="eastAsia" w:ascii="Times New Roman" w:hAnsi="Times New Roman" w:eastAsia="仿宋"/>
          <w:color w:val="auto"/>
          <w:sz w:val="32"/>
          <w:szCs w:val="32"/>
          <w:lang w:val="en-US" w:eastAsia="zh-CN"/>
        </w:rPr>
        <w:t>，</w:t>
      </w:r>
      <w:r>
        <w:rPr>
          <w:rFonts w:hint="eastAsia" w:ascii="Times New Roman" w:hAnsi="Times New Roman" w:eastAsia="仿宋"/>
          <w:color w:val="auto"/>
          <w:sz w:val="32"/>
          <w:szCs w:val="32"/>
        </w:rPr>
        <w:t>确保标准的</w:t>
      </w:r>
      <w:r>
        <w:rPr>
          <w:rFonts w:hint="eastAsia" w:ascii="Times New Roman" w:hAnsi="Times New Roman" w:eastAsia="仿宋"/>
          <w:color w:val="auto"/>
          <w:sz w:val="32"/>
          <w:szCs w:val="32"/>
          <w:lang w:val="en-US" w:eastAsia="zh-CN"/>
        </w:rPr>
        <w:t>可操作性</w:t>
      </w:r>
      <w:r>
        <w:rPr>
          <w:rFonts w:hint="eastAsia" w:ascii="Times New Roman" w:hAnsi="Times New Roman" w:eastAsia="仿宋"/>
          <w:color w:val="auto"/>
          <w:sz w:val="32"/>
          <w:szCs w:val="32"/>
        </w:rPr>
        <w:t>。</w:t>
      </w:r>
    </w:p>
    <w:p w14:paraId="7A5BEE01">
      <w:pPr>
        <w:spacing w:line="600" w:lineRule="exact"/>
        <w:ind w:firstLine="640" w:firstLineChars="200"/>
        <w:jc w:val="left"/>
        <w:rPr>
          <w:rFonts w:hint="eastAsia" w:ascii="Times New Roman" w:hAnsi="Times New Roman" w:eastAsia="仿宋"/>
          <w:color w:val="auto"/>
        </w:rPr>
      </w:pPr>
      <w:r>
        <w:rPr>
          <w:rFonts w:hint="default" w:ascii="Times New Roman" w:hAnsi="Times New Roman" w:eastAsia="仿宋"/>
          <w:color w:val="auto"/>
          <w:sz w:val="32"/>
          <w:szCs w:val="32"/>
          <w:lang w:val="en-US" w:eastAsia="zh-CN"/>
        </w:rPr>
        <w:t>标准实施的监督检查是一项十分重要的系统工程，要较好地完成这项工程，</w:t>
      </w:r>
      <w:r>
        <w:rPr>
          <w:rFonts w:hint="eastAsia" w:ascii="Times New Roman" w:hAnsi="Times New Roman" w:eastAsia="仿宋"/>
          <w:color w:val="auto"/>
          <w:sz w:val="32"/>
          <w:szCs w:val="32"/>
          <w:lang w:val="en-US" w:eastAsia="zh-CN"/>
        </w:rPr>
        <w:t>江苏省民政厅将</w:t>
      </w:r>
      <w:r>
        <w:rPr>
          <w:rFonts w:hint="default" w:ascii="Times New Roman" w:hAnsi="Times New Roman" w:eastAsia="仿宋"/>
          <w:color w:val="auto"/>
          <w:sz w:val="32"/>
          <w:szCs w:val="32"/>
          <w:lang w:val="en-US" w:eastAsia="zh-CN"/>
        </w:rPr>
        <w:t>建立行之有效的监督管理体制，并不断地进行完善。同时，</w:t>
      </w:r>
      <w:r>
        <w:rPr>
          <w:rFonts w:hint="eastAsia" w:ascii="Times New Roman" w:hAnsi="Times New Roman" w:eastAsia="仿宋"/>
          <w:color w:val="auto"/>
          <w:sz w:val="32"/>
          <w:szCs w:val="32"/>
          <w:lang w:val="en-US" w:eastAsia="zh-CN"/>
        </w:rPr>
        <w:t>定期组织有关部门开展标准实施审查，并纳入各相关单位考核。</w:t>
      </w:r>
    </w:p>
    <w:p w14:paraId="1D983EAD">
      <w:pPr>
        <w:pStyle w:val="3"/>
        <w:numPr>
          <w:ilvl w:val="0"/>
          <w:numId w:val="2"/>
        </w:numPr>
        <w:ind w:left="0"/>
        <w:rPr>
          <w:rFonts w:ascii="Times New Roman" w:hAnsi="Times New Roman" w:eastAsia="黑体" w:cs="Times New Roman"/>
          <w:b w:val="0"/>
          <w:bCs w:val="0"/>
          <w:color w:val="000000" w:themeColor="text1"/>
          <w:lang w:val="en-US"/>
          <w14:textFill>
            <w14:solidFill>
              <w14:schemeClr w14:val="tx1"/>
            </w14:solidFill>
          </w14:textFill>
        </w:rPr>
      </w:pPr>
      <w:r>
        <w:rPr>
          <w:rFonts w:hint="eastAsia" w:ascii="Times New Roman" w:hAnsi="Times New Roman" w:eastAsia="黑体" w:cs="Times New Roman"/>
          <w:b w:val="0"/>
          <w:bCs w:val="0"/>
          <w:color w:val="000000" w:themeColor="text1"/>
          <w:lang w:val="en-US"/>
          <w14:textFill>
            <w14:solidFill>
              <w14:schemeClr w14:val="tx1"/>
            </w14:solidFill>
          </w14:textFill>
        </w:rPr>
        <w:t>起草单位和起草人员信息及分工</w:t>
      </w:r>
    </w:p>
    <w:p w14:paraId="68627280">
      <w:pPr>
        <w:pStyle w:val="3"/>
        <w:ind w:left="0" w:leftChars="0" w:firstLine="640" w:firstLineChars="200"/>
        <w:rPr>
          <w:rFonts w:ascii="Times New Roman" w:hAnsi="Times New Roman" w:eastAsia="仿宋" w:cs="Times New Roman"/>
          <w:b w:val="0"/>
          <w:bCs w:val="0"/>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 w:cs="Times New Roman"/>
          <w:b w:val="0"/>
          <w:bCs w:val="0"/>
          <w:color w:val="000000" w:themeColor="text1"/>
          <w:kern w:val="2"/>
          <w:sz w:val="32"/>
          <w:szCs w:val="32"/>
          <w:lang w:val="en-US" w:eastAsia="zh-CN" w:bidi="ar-SA"/>
          <w14:textFill>
            <w14:solidFill>
              <w14:schemeClr w14:val="tx1"/>
            </w14:solidFill>
          </w14:textFill>
        </w:rPr>
        <w:t>本标准的承担单位为江苏省质量和标准化研究院、无锡市新吴区人民政府江溪街道办事处、江苏康乐年华企业管理咨询有限公司、苏州市健康养老产业发展集团有限公司、无锡市新吴区江溪夕阳红休养中心。</w:t>
      </w:r>
    </w:p>
    <w:p w14:paraId="7A89D9DD">
      <w:pPr>
        <w:pStyle w:val="3"/>
        <w:ind w:left="0" w:leftChars="0" w:firstLine="640" w:firstLineChars="200"/>
        <w:jc w:val="both"/>
        <w:rPr>
          <w:rFonts w:hint="eastAsia" w:ascii="Times New Roman" w:hAnsi="Times New Roman" w:eastAsia="仿宋" w:cs="Times New Roman"/>
          <w:b w:val="0"/>
          <w:bCs w:val="0"/>
          <w:lang w:val="en-US" w:eastAsia="zh-CN" w:bidi="ar-SA"/>
        </w:rPr>
      </w:pPr>
      <w:r>
        <w:rPr>
          <w:rFonts w:hint="eastAsia" w:ascii="Times New Roman" w:hAnsi="Times New Roman" w:eastAsia="仿宋" w:cs="Times New Roman"/>
          <w:b w:val="0"/>
          <w:bCs w:val="0"/>
          <w:color w:val="000000" w:themeColor="text1"/>
          <w:highlight w:val="none"/>
          <w:lang w:val="en-US" w:eastAsia="zh-CN" w:bidi="ar-SA"/>
          <w14:textFill>
            <w14:solidFill>
              <w14:schemeClr w14:val="tx1"/>
            </w14:solidFill>
          </w14:textFill>
        </w:rPr>
        <w:t>起草人员信息及分工：</w:t>
      </w:r>
    </w:p>
    <w:tbl>
      <w:tblPr>
        <w:tblStyle w:val="8"/>
        <w:tblW w:w="8110" w:type="dxa"/>
        <w:jc w:val="center"/>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Layout w:type="fixed"/>
        <w:tblCellMar>
          <w:top w:w="0" w:type="dxa"/>
          <w:left w:w="108" w:type="dxa"/>
          <w:bottom w:w="0" w:type="dxa"/>
          <w:right w:w="108" w:type="dxa"/>
        </w:tblCellMar>
      </w:tblPr>
      <w:tblGrid>
        <w:gridCol w:w="793"/>
        <w:gridCol w:w="1100"/>
        <w:gridCol w:w="4150"/>
        <w:gridCol w:w="2067"/>
      </w:tblGrid>
      <w:tr w14:paraId="3BA098C2">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jc w:val="center"/>
        </w:trPr>
        <w:tc>
          <w:tcPr>
            <w:tcW w:w="793" w:type="dxa"/>
            <w:tcBorders>
              <w:top w:val="single" w:color="auto" w:sz="6" w:space="0"/>
              <w:bottom w:val="single" w:color="auto" w:sz="6" w:space="0"/>
              <w:right w:val="single" w:color="auto" w:sz="6" w:space="0"/>
            </w:tcBorders>
            <w:noWrap w:val="0"/>
            <w:vAlign w:val="center"/>
          </w:tcPr>
          <w:p w14:paraId="0D0FDAC8">
            <w:pPr>
              <w:autoSpaceDE/>
              <w:autoSpaceDN/>
              <w:snapToGrid/>
              <w:spacing w:line="240" w:lineRule="auto"/>
              <w:ind w:firstLine="0"/>
              <w:jc w:val="center"/>
              <w:rPr>
                <w:rFonts w:hint="eastAsia" w:ascii="宋体" w:hAnsi="宋体" w:eastAsia="宋体"/>
                <w:b/>
                <w:bCs/>
                <w:snapToGrid/>
                <w:color w:val="auto"/>
                <w:kern w:val="2"/>
                <w:sz w:val="24"/>
                <w:szCs w:val="28"/>
                <w:highlight w:val="none"/>
                <w:lang w:val="en-US" w:eastAsia="zh-CN"/>
              </w:rPr>
            </w:pPr>
            <w:r>
              <w:rPr>
                <w:rFonts w:hint="eastAsia" w:ascii="宋体" w:hAnsi="宋体"/>
                <w:b/>
                <w:bCs/>
                <w:snapToGrid/>
                <w:color w:val="auto"/>
                <w:kern w:val="2"/>
                <w:sz w:val="24"/>
                <w:szCs w:val="28"/>
                <w:highlight w:val="none"/>
                <w:lang w:val="en-US" w:eastAsia="zh-CN"/>
              </w:rPr>
              <w:t>序号</w:t>
            </w:r>
          </w:p>
        </w:tc>
        <w:tc>
          <w:tcPr>
            <w:tcW w:w="1100" w:type="dxa"/>
            <w:tcBorders>
              <w:top w:val="single" w:color="auto" w:sz="6" w:space="0"/>
              <w:left w:val="single" w:color="auto" w:sz="6" w:space="0"/>
              <w:bottom w:val="single" w:color="auto" w:sz="6" w:space="0"/>
              <w:right w:val="single" w:color="auto" w:sz="6" w:space="0"/>
            </w:tcBorders>
            <w:noWrap w:val="0"/>
            <w:vAlign w:val="center"/>
          </w:tcPr>
          <w:p w14:paraId="2D97214B">
            <w:pPr>
              <w:autoSpaceDE/>
              <w:autoSpaceDN/>
              <w:snapToGrid/>
              <w:spacing w:line="240" w:lineRule="auto"/>
              <w:ind w:firstLine="0"/>
              <w:jc w:val="center"/>
              <w:rPr>
                <w:rFonts w:hint="eastAsia" w:ascii="宋体" w:hAnsi="宋体" w:eastAsia="宋体"/>
                <w:b/>
                <w:bCs/>
                <w:snapToGrid/>
                <w:color w:val="auto"/>
                <w:kern w:val="2"/>
                <w:sz w:val="24"/>
                <w:szCs w:val="28"/>
                <w:highlight w:val="none"/>
              </w:rPr>
            </w:pPr>
            <w:r>
              <w:rPr>
                <w:rFonts w:hint="eastAsia" w:ascii="宋体" w:hAnsi="宋体" w:eastAsia="宋体"/>
                <w:b/>
                <w:bCs/>
                <w:snapToGrid/>
                <w:color w:val="auto"/>
                <w:kern w:val="2"/>
                <w:sz w:val="24"/>
                <w:szCs w:val="28"/>
                <w:highlight w:val="none"/>
              </w:rPr>
              <w:t>姓名</w:t>
            </w:r>
          </w:p>
        </w:tc>
        <w:tc>
          <w:tcPr>
            <w:tcW w:w="4150" w:type="dxa"/>
            <w:tcBorders>
              <w:top w:val="single" w:color="auto" w:sz="6" w:space="0"/>
              <w:left w:val="single" w:color="auto" w:sz="6" w:space="0"/>
              <w:bottom w:val="single" w:color="auto" w:sz="6" w:space="0"/>
              <w:right w:val="single" w:color="auto" w:sz="6" w:space="0"/>
            </w:tcBorders>
            <w:noWrap w:val="0"/>
            <w:vAlign w:val="center"/>
          </w:tcPr>
          <w:p w14:paraId="62959C06">
            <w:pPr>
              <w:autoSpaceDE/>
              <w:autoSpaceDN/>
              <w:snapToGrid/>
              <w:spacing w:line="240" w:lineRule="auto"/>
              <w:ind w:firstLine="0"/>
              <w:jc w:val="center"/>
              <w:rPr>
                <w:rFonts w:ascii="宋体" w:hAnsi="宋体" w:eastAsia="宋体"/>
                <w:b/>
                <w:bCs/>
                <w:snapToGrid/>
                <w:color w:val="auto"/>
                <w:kern w:val="2"/>
                <w:sz w:val="24"/>
                <w:szCs w:val="28"/>
                <w:highlight w:val="none"/>
              </w:rPr>
            </w:pPr>
            <w:r>
              <w:rPr>
                <w:rFonts w:hint="eastAsia" w:ascii="宋体" w:hAnsi="宋体" w:eastAsia="宋体"/>
                <w:b/>
                <w:bCs/>
                <w:snapToGrid/>
                <w:color w:val="auto"/>
                <w:kern w:val="2"/>
                <w:sz w:val="24"/>
                <w:szCs w:val="28"/>
                <w:highlight w:val="none"/>
              </w:rPr>
              <w:t>工作单位</w:t>
            </w:r>
          </w:p>
        </w:tc>
        <w:tc>
          <w:tcPr>
            <w:tcW w:w="2067" w:type="dxa"/>
            <w:tcBorders>
              <w:top w:val="single" w:color="auto" w:sz="6" w:space="0"/>
              <w:left w:val="single" w:color="auto" w:sz="6" w:space="0"/>
              <w:bottom w:val="single" w:color="auto" w:sz="6" w:space="0"/>
              <w:right w:val="single" w:color="auto" w:sz="6" w:space="0"/>
            </w:tcBorders>
            <w:noWrap w:val="0"/>
            <w:vAlign w:val="center"/>
          </w:tcPr>
          <w:p w14:paraId="12D59881">
            <w:pPr>
              <w:autoSpaceDE/>
              <w:autoSpaceDN/>
              <w:snapToGrid/>
              <w:spacing w:line="240" w:lineRule="auto"/>
              <w:ind w:firstLine="0"/>
              <w:jc w:val="center"/>
              <w:rPr>
                <w:rFonts w:ascii="宋体" w:hAnsi="宋体" w:eastAsia="宋体"/>
                <w:b/>
                <w:bCs/>
                <w:snapToGrid/>
                <w:color w:val="auto"/>
                <w:kern w:val="2"/>
                <w:sz w:val="24"/>
                <w:szCs w:val="28"/>
                <w:highlight w:val="none"/>
              </w:rPr>
            </w:pPr>
            <w:r>
              <w:rPr>
                <w:rFonts w:hint="eastAsia" w:ascii="宋体" w:hAnsi="宋体" w:eastAsia="宋体"/>
                <w:b/>
                <w:bCs/>
                <w:snapToGrid/>
                <w:color w:val="auto"/>
                <w:kern w:val="2"/>
                <w:sz w:val="24"/>
                <w:szCs w:val="28"/>
                <w:highlight w:val="none"/>
              </w:rPr>
              <w:t>项目分工</w:t>
            </w:r>
          </w:p>
        </w:tc>
      </w:tr>
      <w:tr w14:paraId="50EF664F">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jc w:val="center"/>
        </w:trPr>
        <w:tc>
          <w:tcPr>
            <w:tcW w:w="793" w:type="dxa"/>
            <w:tcBorders>
              <w:top w:val="single" w:color="auto" w:sz="6" w:space="0"/>
              <w:bottom w:val="single" w:color="auto" w:sz="6" w:space="0"/>
              <w:right w:val="single" w:color="auto" w:sz="6" w:space="0"/>
            </w:tcBorders>
            <w:noWrap w:val="0"/>
            <w:vAlign w:val="center"/>
          </w:tcPr>
          <w:p w14:paraId="5F2A0EE3">
            <w:pPr>
              <w:numPr>
                <w:ilvl w:val="0"/>
                <w:numId w:val="4"/>
              </w:numPr>
              <w:autoSpaceDE/>
              <w:autoSpaceDN/>
              <w:snapToGrid/>
              <w:spacing w:line="240" w:lineRule="auto"/>
              <w:ind w:left="425" w:leftChars="0" w:hanging="425" w:firstLineChars="0"/>
              <w:jc w:val="center"/>
              <w:rPr>
                <w:rFonts w:hint="eastAsia" w:ascii="宋体" w:hAnsi="宋体" w:eastAsia="宋体" w:cs="Times New Roman"/>
                <w:snapToGrid/>
                <w:color w:val="auto"/>
                <w:kern w:val="2"/>
                <w:sz w:val="24"/>
                <w:szCs w:val="28"/>
                <w:highlight w:val="none"/>
                <w:lang w:val="en-US" w:eastAsia="zh-CN"/>
              </w:rPr>
            </w:pPr>
          </w:p>
        </w:tc>
        <w:tc>
          <w:tcPr>
            <w:tcW w:w="1100" w:type="dxa"/>
            <w:tcBorders>
              <w:top w:val="single" w:color="auto" w:sz="6" w:space="0"/>
              <w:left w:val="single" w:color="auto" w:sz="6" w:space="0"/>
              <w:bottom w:val="single" w:color="auto" w:sz="6" w:space="0"/>
              <w:right w:val="single" w:color="auto" w:sz="6" w:space="0"/>
            </w:tcBorders>
            <w:noWrap w:val="0"/>
            <w:vAlign w:val="center"/>
          </w:tcPr>
          <w:p w14:paraId="79AA25A3">
            <w:pPr>
              <w:autoSpaceDE/>
              <w:autoSpaceDN/>
              <w:snapToGrid/>
              <w:spacing w:line="240" w:lineRule="auto"/>
              <w:ind w:firstLine="0" w:firstLineChars="0"/>
              <w:jc w:val="center"/>
              <w:rPr>
                <w:rFonts w:hint="eastAsia" w:ascii="宋体" w:hAnsi="宋体" w:eastAsia="宋体" w:cs="Times New Roman"/>
                <w:snapToGrid/>
                <w:color w:val="auto"/>
                <w:kern w:val="2"/>
                <w:sz w:val="24"/>
                <w:szCs w:val="28"/>
                <w:highlight w:val="none"/>
                <w:lang w:val="en-US" w:eastAsia="zh-CN" w:bidi="ar-SA"/>
              </w:rPr>
            </w:pPr>
            <w:r>
              <w:rPr>
                <w:rFonts w:hint="eastAsia" w:ascii="宋体" w:hAnsi="宋体" w:eastAsia="宋体" w:cs="Times New Roman"/>
                <w:snapToGrid/>
                <w:color w:val="auto"/>
                <w:kern w:val="2"/>
                <w:sz w:val="24"/>
                <w:szCs w:val="28"/>
                <w:highlight w:val="none"/>
                <w:lang w:val="en-US" w:eastAsia="zh-CN" w:bidi="ar-SA"/>
              </w:rPr>
              <w:t>王加倩</w:t>
            </w:r>
          </w:p>
        </w:tc>
        <w:tc>
          <w:tcPr>
            <w:tcW w:w="4150" w:type="dxa"/>
            <w:tcBorders>
              <w:top w:val="single" w:color="auto" w:sz="6" w:space="0"/>
              <w:left w:val="single" w:color="auto" w:sz="6" w:space="0"/>
              <w:bottom w:val="single" w:color="auto" w:sz="6" w:space="0"/>
              <w:right w:val="single" w:color="auto" w:sz="6" w:space="0"/>
            </w:tcBorders>
            <w:noWrap w:val="0"/>
            <w:vAlign w:val="center"/>
          </w:tcPr>
          <w:p w14:paraId="43F3C25B">
            <w:pPr>
              <w:autoSpaceDE/>
              <w:autoSpaceDN/>
              <w:snapToGrid/>
              <w:spacing w:line="240" w:lineRule="auto"/>
              <w:ind w:firstLine="0"/>
              <w:jc w:val="center"/>
              <w:rPr>
                <w:rFonts w:hint="default" w:ascii="宋体" w:hAnsi="宋体" w:eastAsia="宋体" w:cs="Times New Roman"/>
                <w:snapToGrid/>
                <w:color w:val="auto"/>
                <w:kern w:val="2"/>
                <w:sz w:val="24"/>
                <w:szCs w:val="28"/>
                <w:highlight w:val="none"/>
                <w:lang w:val="en-US" w:eastAsia="zh-CN"/>
              </w:rPr>
            </w:pPr>
            <w:r>
              <w:rPr>
                <w:rFonts w:hint="eastAsia" w:ascii="宋体" w:hAnsi="宋体" w:eastAsia="宋体" w:cs="Times New Roman"/>
                <w:snapToGrid/>
                <w:color w:val="auto"/>
                <w:kern w:val="2"/>
                <w:sz w:val="24"/>
                <w:szCs w:val="28"/>
                <w:highlight w:val="none"/>
                <w:lang w:val="en-US" w:eastAsia="zh-CN"/>
              </w:rPr>
              <w:t>江苏省质量和标准化研究院</w:t>
            </w:r>
          </w:p>
        </w:tc>
        <w:tc>
          <w:tcPr>
            <w:tcW w:w="2067" w:type="dxa"/>
            <w:tcBorders>
              <w:top w:val="single" w:color="auto" w:sz="6" w:space="0"/>
              <w:left w:val="single" w:color="auto" w:sz="6" w:space="0"/>
              <w:bottom w:val="single" w:color="auto" w:sz="6" w:space="0"/>
              <w:right w:val="single" w:color="auto" w:sz="6" w:space="0"/>
            </w:tcBorders>
            <w:noWrap w:val="0"/>
            <w:vAlign w:val="center"/>
          </w:tcPr>
          <w:p w14:paraId="5F8DA4DD">
            <w:pPr>
              <w:autoSpaceDE/>
              <w:autoSpaceDN/>
              <w:snapToGrid/>
              <w:spacing w:line="240" w:lineRule="auto"/>
              <w:ind w:firstLine="0"/>
              <w:jc w:val="center"/>
              <w:rPr>
                <w:rFonts w:hint="default" w:ascii="宋体" w:hAnsi="宋体" w:eastAsia="宋体" w:cs="Times New Roman"/>
                <w:snapToGrid/>
                <w:color w:val="auto"/>
                <w:kern w:val="2"/>
                <w:sz w:val="24"/>
                <w:szCs w:val="28"/>
                <w:highlight w:val="none"/>
                <w:lang w:val="en-US" w:eastAsia="zh-CN"/>
              </w:rPr>
            </w:pPr>
            <w:r>
              <w:rPr>
                <w:rFonts w:hint="eastAsia" w:ascii="宋体" w:hAnsi="宋体" w:eastAsia="宋体" w:cs="Times New Roman"/>
                <w:snapToGrid/>
                <w:color w:val="auto"/>
                <w:kern w:val="2"/>
                <w:sz w:val="24"/>
                <w:szCs w:val="28"/>
                <w:highlight w:val="none"/>
                <w:lang w:val="en-US" w:eastAsia="zh-CN"/>
              </w:rPr>
              <w:t>主要起草人</w:t>
            </w:r>
            <w:r>
              <w:rPr>
                <w:rFonts w:hint="eastAsia" w:ascii="宋体" w:hAnsi="宋体" w:cs="Times New Roman"/>
                <w:snapToGrid/>
                <w:color w:val="auto"/>
                <w:kern w:val="2"/>
                <w:sz w:val="24"/>
                <w:szCs w:val="28"/>
                <w:highlight w:val="none"/>
                <w:lang w:val="en-US" w:eastAsia="zh-CN"/>
              </w:rPr>
              <w:t>，</w:t>
            </w:r>
            <w:r>
              <w:rPr>
                <w:rFonts w:hint="eastAsia" w:ascii="宋体" w:hAnsi="宋体" w:cs="Times New Roman"/>
                <w:snapToGrid/>
                <w:color w:val="000000" w:themeColor="text1"/>
                <w:kern w:val="2"/>
                <w:sz w:val="24"/>
                <w:szCs w:val="28"/>
                <w:highlight w:val="none"/>
                <w:lang w:val="en-US" w:eastAsia="zh-CN"/>
                <w14:textFill>
                  <w14:solidFill>
                    <w14:schemeClr w14:val="tx1"/>
                  </w14:solidFill>
                </w14:textFill>
              </w:rPr>
              <w:t>构建标准主要框架结构，参与标准全文编写</w:t>
            </w:r>
          </w:p>
        </w:tc>
      </w:tr>
      <w:tr w14:paraId="2D52235E">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jc w:val="center"/>
        </w:trPr>
        <w:tc>
          <w:tcPr>
            <w:tcW w:w="793" w:type="dxa"/>
            <w:tcBorders>
              <w:top w:val="single" w:color="auto" w:sz="6" w:space="0"/>
              <w:bottom w:val="single" w:color="auto" w:sz="6" w:space="0"/>
              <w:right w:val="single" w:color="auto" w:sz="6" w:space="0"/>
            </w:tcBorders>
            <w:noWrap w:val="0"/>
            <w:vAlign w:val="center"/>
          </w:tcPr>
          <w:p w14:paraId="34D17924">
            <w:pPr>
              <w:numPr>
                <w:ilvl w:val="0"/>
                <w:numId w:val="4"/>
              </w:numPr>
              <w:autoSpaceDE/>
              <w:autoSpaceDN/>
              <w:snapToGrid/>
              <w:spacing w:line="240" w:lineRule="auto"/>
              <w:ind w:left="425" w:leftChars="0" w:hanging="425" w:firstLineChars="0"/>
              <w:jc w:val="center"/>
              <w:rPr>
                <w:rFonts w:hint="eastAsia" w:ascii="宋体" w:hAnsi="宋体" w:eastAsia="宋体" w:cs="Times New Roman"/>
                <w:snapToGrid/>
                <w:color w:val="auto"/>
                <w:kern w:val="2"/>
                <w:sz w:val="24"/>
                <w:szCs w:val="28"/>
                <w:highlight w:val="none"/>
                <w:lang w:val="en-US" w:eastAsia="zh-CN"/>
              </w:rPr>
            </w:pPr>
          </w:p>
        </w:tc>
        <w:tc>
          <w:tcPr>
            <w:tcW w:w="1100" w:type="dxa"/>
            <w:tcBorders>
              <w:top w:val="single" w:color="auto" w:sz="6" w:space="0"/>
              <w:left w:val="single" w:color="auto" w:sz="6" w:space="0"/>
              <w:bottom w:val="single" w:color="auto" w:sz="6" w:space="0"/>
              <w:right w:val="single" w:color="auto" w:sz="6" w:space="0"/>
            </w:tcBorders>
            <w:shd w:val="clear" w:color="auto" w:fill="auto"/>
            <w:noWrap w:val="0"/>
            <w:vAlign w:val="center"/>
          </w:tcPr>
          <w:p w14:paraId="0FB0D564">
            <w:pPr>
              <w:autoSpaceDE/>
              <w:autoSpaceDN/>
              <w:snapToGrid/>
              <w:spacing w:line="240" w:lineRule="auto"/>
              <w:ind w:firstLine="0" w:firstLineChars="0"/>
              <w:jc w:val="center"/>
              <w:rPr>
                <w:rFonts w:hint="eastAsia" w:ascii="宋体" w:hAnsi="宋体" w:eastAsia="宋体" w:cs="Times New Roman"/>
                <w:snapToGrid/>
                <w:color w:val="auto"/>
                <w:kern w:val="2"/>
                <w:sz w:val="24"/>
                <w:szCs w:val="28"/>
                <w:highlight w:val="none"/>
                <w:lang w:val="en-US" w:eastAsia="zh-CN" w:bidi="ar-SA"/>
              </w:rPr>
            </w:pPr>
            <w:r>
              <w:rPr>
                <w:rFonts w:hint="eastAsia" w:ascii="宋体" w:hAnsi="宋体" w:eastAsia="宋体" w:cs="Times New Roman"/>
                <w:snapToGrid/>
                <w:color w:val="auto"/>
                <w:kern w:val="2"/>
                <w:sz w:val="24"/>
                <w:szCs w:val="28"/>
                <w:highlight w:val="none"/>
                <w:lang w:val="en-US" w:eastAsia="zh-CN" w:bidi="ar-SA"/>
              </w:rPr>
              <w:t>张  书</w:t>
            </w:r>
          </w:p>
        </w:tc>
        <w:tc>
          <w:tcPr>
            <w:tcW w:w="4150" w:type="dxa"/>
            <w:tcBorders>
              <w:top w:val="single" w:color="auto" w:sz="6" w:space="0"/>
              <w:left w:val="single" w:color="auto" w:sz="6" w:space="0"/>
              <w:bottom w:val="single" w:color="auto" w:sz="6" w:space="0"/>
              <w:right w:val="single" w:color="auto" w:sz="6" w:space="0"/>
            </w:tcBorders>
            <w:shd w:val="clear" w:color="auto" w:fill="auto"/>
            <w:noWrap w:val="0"/>
            <w:vAlign w:val="center"/>
          </w:tcPr>
          <w:p w14:paraId="15EFE822">
            <w:pPr>
              <w:autoSpaceDE/>
              <w:autoSpaceDN/>
              <w:snapToGrid/>
              <w:spacing w:line="240" w:lineRule="auto"/>
              <w:ind w:firstLine="0" w:firstLineChars="0"/>
              <w:jc w:val="center"/>
              <w:rPr>
                <w:rFonts w:hint="eastAsia" w:ascii="宋体" w:hAnsi="宋体" w:eastAsia="宋体" w:cs="Times New Roman"/>
                <w:snapToGrid/>
                <w:color w:val="auto"/>
                <w:kern w:val="2"/>
                <w:sz w:val="24"/>
                <w:szCs w:val="28"/>
                <w:highlight w:val="none"/>
                <w:lang w:val="en-US" w:eastAsia="zh-CN" w:bidi="ar-SA"/>
              </w:rPr>
            </w:pPr>
            <w:r>
              <w:rPr>
                <w:rFonts w:hint="eastAsia" w:ascii="宋体" w:hAnsi="宋体" w:eastAsia="宋体" w:cs="Times New Roman"/>
                <w:snapToGrid/>
                <w:color w:val="auto"/>
                <w:kern w:val="2"/>
                <w:sz w:val="24"/>
                <w:szCs w:val="28"/>
                <w:highlight w:val="none"/>
                <w:lang w:val="en-US" w:eastAsia="zh-CN"/>
              </w:rPr>
              <w:t>江苏省质量和标准化研究院</w:t>
            </w:r>
          </w:p>
        </w:tc>
        <w:tc>
          <w:tcPr>
            <w:tcW w:w="2067" w:type="dxa"/>
            <w:tcBorders>
              <w:top w:val="single" w:color="auto" w:sz="6" w:space="0"/>
              <w:left w:val="single" w:color="auto" w:sz="6" w:space="0"/>
              <w:bottom w:val="single" w:color="auto" w:sz="6" w:space="0"/>
              <w:right w:val="single" w:color="auto" w:sz="6" w:space="0"/>
            </w:tcBorders>
            <w:noWrap w:val="0"/>
            <w:vAlign w:val="center"/>
          </w:tcPr>
          <w:p w14:paraId="7EC4C163">
            <w:pPr>
              <w:autoSpaceDE/>
              <w:autoSpaceDN/>
              <w:snapToGrid/>
              <w:spacing w:line="240" w:lineRule="auto"/>
              <w:ind w:firstLine="0"/>
              <w:jc w:val="center"/>
              <w:rPr>
                <w:rFonts w:hint="eastAsia" w:ascii="宋体" w:hAnsi="宋体" w:eastAsia="宋体" w:cs="Times New Roman"/>
                <w:snapToGrid/>
                <w:color w:val="auto"/>
                <w:kern w:val="2"/>
                <w:sz w:val="24"/>
                <w:szCs w:val="28"/>
                <w:highlight w:val="none"/>
                <w:lang w:val="en-US" w:eastAsia="zh-CN"/>
              </w:rPr>
            </w:pPr>
            <w:r>
              <w:rPr>
                <w:rFonts w:hint="eastAsia" w:ascii="宋体" w:hAnsi="宋体" w:eastAsia="宋体" w:cs="Times New Roman"/>
                <w:snapToGrid/>
                <w:color w:val="auto"/>
                <w:kern w:val="2"/>
                <w:sz w:val="24"/>
                <w:szCs w:val="28"/>
                <w:highlight w:val="none"/>
                <w:lang w:val="en-US" w:eastAsia="zh-CN"/>
              </w:rPr>
              <w:t>主要起草人</w:t>
            </w:r>
            <w:r>
              <w:rPr>
                <w:rFonts w:hint="eastAsia" w:ascii="宋体" w:hAnsi="宋体" w:cs="Times New Roman"/>
                <w:snapToGrid/>
                <w:color w:val="auto"/>
                <w:kern w:val="2"/>
                <w:sz w:val="24"/>
                <w:szCs w:val="28"/>
                <w:highlight w:val="none"/>
                <w:lang w:val="en-US" w:eastAsia="zh-CN"/>
              </w:rPr>
              <w:t>，</w:t>
            </w:r>
            <w:r>
              <w:rPr>
                <w:rFonts w:hint="eastAsia" w:ascii="宋体" w:hAnsi="宋体" w:cs="Times New Roman"/>
                <w:snapToGrid/>
                <w:color w:val="000000" w:themeColor="text1"/>
                <w:kern w:val="2"/>
                <w:sz w:val="24"/>
                <w:szCs w:val="28"/>
                <w:highlight w:val="none"/>
                <w:lang w:val="en-US" w:eastAsia="zh-CN"/>
                <w14:textFill>
                  <w14:solidFill>
                    <w14:schemeClr w14:val="tx1"/>
                  </w14:solidFill>
                </w14:textFill>
              </w:rPr>
              <w:t>构建标准主要框架结构，参与标准全文编写</w:t>
            </w:r>
          </w:p>
        </w:tc>
      </w:tr>
      <w:tr w14:paraId="5C8915F3">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jc w:val="center"/>
        </w:trPr>
        <w:tc>
          <w:tcPr>
            <w:tcW w:w="793" w:type="dxa"/>
            <w:tcBorders>
              <w:top w:val="single" w:color="auto" w:sz="6" w:space="0"/>
              <w:bottom w:val="single" w:color="auto" w:sz="6" w:space="0"/>
              <w:right w:val="single" w:color="auto" w:sz="6" w:space="0"/>
            </w:tcBorders>
            <w:noWrap w:val="0"/>
            <w:vAlign w:val="center"/>
          </w:tcPr>
          <w:p w14:paraId="6E47C14B">
            <w:pPr>
              <w:numPr>
                <w:ilvl w:val="0"/>
                <w:numId w:val="4"/>
              </w:numPr>
              <w:autoSpaceDE/>
              <w:autoSpaceDN/>
              <w:snapToGrid/>
              <w:spacing w:line="240" w:lineRule="auto"/>
              <w:ind w:left="425" w:leftChars="0" w:hanging="425" w:firstLineChars="0"/>
              <w:jc w:val="center"/>
              <w:rPr>
                <w:rFonts w:hint="eastAsia" w:ascii="宋体" w:hAnsi="宋体" w:eastAsia="宋体" w:cs="Times New Roman"/>
                <w:snapToGrid/>
                <w:color w:val="auto"/>
                <w:kern w:val="2"/>
                <w:sz w:val="24"/>
                <w:szCs w:val="28"/>
                <w:highlight w:val="none"/>
                <w:lang w:val="en-US" w:eastAsia="zh-CN"/>
              </w:rPr>
            </w:pPr>
          </w:p>
        </w:tc>
        <w:tc>
          <w:tcPr>
            <w:tcW w:w="1100" w:type="dxa"/>
            <w:tcBorders>
              <w:top w:val="single" w:color="auto" w:sz="6" w:space="0"/>
              <w:left w:val="single" w:color="auto" w:sz="6" w:space="0"/>
              <w:bottom w:val="single" w:color="auto" w:sz="6" w:space="0"/>
              <w:right w:val="single" w:color="auto" w:sz="6" w:space="0"/>
            </w:tcBorders>
            <w:shd w:val="clear" w:color="auto" w:fill="auto"/>
            <w:noWrap w:val="0"/>
            <w:vAlign w:val="center"/>
          </w:tcPr>
          <w:p w14:paraId="00D59CFE">
            <w:pPr>
              <w:autoSpaceDE/>
              <w:autoSpaceDN/>
              <w:snapToGrid/>
              <w:spacing w:line="240" w:lineRule="auto"/>
              <w:ind w:firstLine="0" w:firstLineChars="0"/>
              <w:jc w:val="center"/>
              <w:rPr>
                <w:rFonts w:hint="eastAsia" w:ascii="宋体" w:hAnsi="宋体" w:eastAsia="宋体" w:cs="Times New Roman"/>
                <w:snapToGrid/>
                <w:color w:val="auto"/>
                <w:kern w:val="2"/>
                <w:sz w:val="24"/>
                <w:szCs w:val="28"/>
                <w:highlight w:val="none"/>
                <w:lang w:val="en-US" w:eastAsia="zh-CN" w:bidi="ar-SA"/>
              </w:rPr>
            </w:pPr>
            <w:r>
              <w:rPr>
                <w:rFonts w:hint="eastAsia" w:ascii="宋体" w:hAnsi="宋体" w:eastAsia="宋体" w:cs="Times New Roman"/>
                <w:snapToGrid/>
                <w:color w:val="auto"/>
                <w:kern w:val="2"/>
                <w:sz w:val="24"/>
                <w:szCs w:val="28"/>
                <w:highlight w:val="none"/>
                <w:lang w:val="en-US" w:eastAsia="zh-CN" w:bidi="ar-SA"/>
              </w:rPr>
              <w:t>肖雅平</w:t>
            </w:r>
          </w:p>
        </w:tc>
        <w:tc>
          <w:tcPr>
            <w:tcW w:w="4150" w:type="dxa"/>
            <w:tcBorders>
              <w:top w:val="single" w:color="auto" w:sz="6" w:space="0"/>
              <w:left w:val="single" w:color="auto" w:sz="6" w:space="0"/>
              <w:bottom w:val="single" w:color="auto" w:sz="6" w:space="0"/>
              <w:right w:val="single" w:color="auto" w:sz="6" w:space="0"/>
            </w:tcBorders>
            <w:shd w:val="clear" w:color="auto" w:fill="auto"/>
            <w:noWrap w:val="0"/>
            <w:vAlign w:val="center"/>
          </w:tcPr>
          <w:p w14:paraId="432A79EA">
            <w:pPr>
              <w:keepNext w:val="0"/>
              <w:keepLines w:val="0"/>
              <w:widowControl/>
              <w:suppressLineNumbers w:val="0"/>
              <w:jc w:val="center"/>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高新区（新吴区）民政和卫生健康局</w:t>
            </w:r>
          </w:p>
        </w:tc>
        <w:tc>
          <w:tcPr>
            <w:tcW w:w="2067" w:type="dxa"/>
            <w:tcBorders>
              <w:top w:val="single" w:color="auto" w:sz="6" w:space="0"/>
              <w:left w:val="single" w:color="auto" w:sz="6" w:space="0"/>
              <w:bottom w:val="single" w:color="auto" w:sz="6" w:space="0"/>
              <w:right w:val="single" w:color="auto" w:sz="6" w:space="0"/>
            </w:tcBorders>
            <w:noWrap w:val="0"/>
            <w:vAlign w:val="center"/>
          </w:tcPr>
          <w:p w14:paraId="1C0A8DFA">
            <w:pPr>
              <w:autoSpaceDE/>
              <w:autoSpaceDN/>
              <w:snapToGrid/>
              <w:spacing w:line="240" w:lineRule="auto"/>
              <w:ind w:firstLine="0" w:firstLineChars="0"/>
              <w:jc w:val="center"/>
              <w:rPr>
                <w:rFonts w:hint="eastAsia" w:ascii="宋体" w:hAnsi="宋体" w:eastAsia="宋体" w:cs="Times New Roman"/>
                <w:snapToGrid/>
                <w:color w:val="auto"/>
                <w:kern w:val="2"/>
                <w:sz w:val="24"/>
                <w:szCs w:val="28"/>
                <w:highlight w:val="none"/>
                <w:lang w:val="en-US" w:eastAsia="zh-CN" w:bidi="ar-SA"/>
              </w:rPr>
            </w:pPr>
            <w:r>
              <w:rPr>
                <w:rFonts w:hint="eastAsia" w:ascii="宋体" w:hAnsi="宋体" w:eastAsia="宋体" w:cs="Times New Roman"/>
                <w:snapToGrid/>
                <w:color w:val="auto"/>
                <w:kern w:val="2"/>
                <w:sz w:val="24"/>
                <w:szCs w:val="28"/>
                <w:highlight w:val="none"/>
                <w:lang w:val="en-US" w:eastAsia="zh-CN"/>
              </w:rPr>
              <w:t>主要起草人</w:t>
            </w:r>
            <w:r>
              <w:rPr>
                <w:rFonts w:hint="eastAsia" w:ascii="宋体" w:hAnsi="宋体" w:cs="Times New Roman"/>
                <w:snapToGrid/>
                <w:color w:val="auto"/>
                <w:kern w:val="2"/>
                <w:sz w:val="24"/>
                <w:szCs w:val="28"/>
                <w:highlight w:val="none"/>
                <w:lang w:val="en-US" w:eastAsia="zh-CN"/>
              </w:rPr>
              <w:t>，</w:t>
            </w:r>
            <w:r>
              <w:rPr>
                <w:rFonts w:hint="eastAsia" w:ascii="宋体" w:hAnsi="宋体" w:cs="Times New Roman"/>
                <w:snapToGrid/>
                <w:color w:val="000000" w:themeColor="text1"/>
                <w:kern w:val="2"/>
                <w:sz w:val="24"/>
                <w:szCs w:val="28"/>
                <w:highlight w:val="none"/>
                <w:lang w:val="en-US" w:eastAsia="zh-CN"/>
                <w14:textFill>
                  <w14:solidFill>
                    <w14:schemeClr w14:val="tx1"/>
                  </w14:solidFill>
                </w14:textFill>
              </w:rPr>
              <w:t>构建标准主要框架结构，参与标准全文编写</w:t>
            </w:r>
          </w:p>
        </w:tc>
      </w:tr>
      <w:tr w14:paraId="0F8AEC2D">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jc w:val="center"/>
        </w:trPr>
        <w:tc>
          <w:tcPr>
            <w:tcW w:w="793" w:type="dxa"/>
            <w:tcBorders>
              <w:top w:val="single" w:color="auto" w:sz="6" w:space="0"/>
              <w:bottom w:val="single" w:color="auto" w:sz="6" w:space="0"/>
              <w:right w:val="single" w:color="auto" w:sz="6" w:space="0"/>
            </w:tcBorders>
            <w:noWrap w:val="0"/>
            <w:vAlign w:val="center"/>
          </w:tcPr>
          <w:p w14:paraId="23A23817">
            <w:pPr>
              <w:numPr>
                <w:ilvl w:val="0"/>
                <w:numId w:val="4"/>
              </w:numPr>
              <w:autoSpaceDE/>
              <w:autoSpaceDN/>
              <w:snapToGrid/>
              <w:spacing w:line="240" w:lineRule="auto"/>
              <w:ind w:left="425" w:leftChars="0" w:hanging="425" w:firstLineChars="0"/>
              <w:jc w:val="center"/>
              <w:rPr>
                <w:rFonts w:hint="eastAsia" w:ascii="宋体" w:hAnsi="宋体" w:eastAsia="宋体" w:cs="Times New Roman"/>
                <w:snapToGrid/>
                <w:color w:val="auto"/>
                <w:kern w:val="2"/>
                <w:sz w:val="24"/>
                <w:szCs w:val="28"/>
                <w:highlight w:val="none"/>
                <w:lang w:val="en-US" w:eastAsia="zh-CN"/>
              </w:rPr>
            </w:pPr>
          </w:p>
        </w:tc>
        <w:tc>
          <w:tcPr>
            <w:tcW w:w="1100" w:type="dxa"/>
            <w:tcBorders>
              <w:top w:val="single" w:color="auto" w:sz="6" w:space="0"/>
              <w:left w:val="single" w:color="auto" w:sz="6" w:space="0"/>
              <w:bottom w:val="single" w:color="auto" w:sz="6" w:space="0"/>
              <w:right w:val="single" w:color="auto" w:sz="6" w:space="0"/>
            </w:tcBorders>
            <w:shd w:val="clear" w:color="auto" w:fill="auto"/>
            <w:noWrap w:val="0"/>
            <w:vAlign w:val="center"/>
          </w:tcPr>
          <w:p w14:paraId="12380422">
            <w:pPr>
              <w:autoSpaceDE/>
              <w:autoSpaceDN/>
              <w:snapToGrid/>
              <w:spacing w:line="240" w:lineRule="auto"/>
              <w:ind w:firstLine="0" w:firstLineChars="0"/>
              <w:jc w:val="center"/>
              <w:rPr>
                <w:rFonts w:hint="default" w:ascii="宋体" w:hAnsi="宋体" w:eastAsia="宋体" w:cs="Times New Roman"/>
                <w:snapToGrid/>
                <w:color w:val="auto"/>
                <w:kern w:val="2"/>
                <w:sz w:val="24"/>
                <w:szCs w:val="28"/>
                <w:highlight w:val="none"/>
                <w:lang w:val="en-US" w:eastAsia="zh-CN" w:bidi="ar-SA"/>
              </w:rPr>
            </w:pPr>
            <w:r>
              <w:rPr>
                <w:rFonts w:hint="eastAsia" w:ascii="宋体" w:hAnsi="宋体" w:eastAsia="宋体" w:cs="Times New Roman"/>
                <w:snapToGrid/>
                <w:color w:val="auto"/>
                <w:kern w:val="2"/>
                <w:sz w:val="24"/>
                <w:szCs w:val="28"/>
                <w:highlight w:val="none"/>
                <w:lang w:val="en-US" w:eastAsia="zh-CN" w:bidi="ar-SA"/>
              </w:rPr>
              <w:t>王  维</w:t>
            </w:r>
          </w:p>
        </w:tc>
        <w:tc>
          <w:tcPr>
            <w:tcW w:w="4150" w:type="dxa"/>
            <w:tcBorders>
              <w:top w:val="single" w:color="auto" w:sz="6" w:space="0"/>
              <w:left w:val="single" w:color="auto" w:sz="6" w:space="0"/>
              <w:bottom w:val="single" w:color="auto" w:sz="6" w:space="0"/>
              <w:right w:val="single" w:color="auto" w:sz="6" w:space="0"/>
            </w:tcBorders>
            <w:shd w:val="clear" w:color="auto" w:fill="auto"/>
            <w:noWrap w:val="0"/>
            <w:vAlign w:val="center"/>
          </w:tcPr>
          <w:p w14:paraId="27452377">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Times New Roman"/>
                <w:snapToGrid/>
                <w:color w:val="auto"/>
                <w:kern w:val="2"/>
                <w:sz w:val="24"/>
                <w:szCs w:val="28"/>
                <w:highlight w:val="none"/>
                <w:lang w:val="en-US" w:eastAsia="zh-CN"/>
              </w:rPr>
              <w:t>江苏省质量和标准化研究院</w:t>
            </w:r>
          </w:p>
        </w:tc>
        <w:tc>
          <w:tcPr>
            <w:tcW w:w="2067" w:type="dxa"/>
            <w:tcBorders>
              <w:top w:val="single" w:color="auto" w:sz="6" w:space="0"/>
              <w:left w:val="single" w:color="auto" w:sz="6" w:space="0"/>
              <w:bottom w:val="single" w:color="auto" w:sz="6" w:space="0"/>
              <w:right w:val="single" w:color="auto" w:sz="6" w:space="0"/>
            </w:tcBorders>
            <w:noWrap w:val="0"/>
            <w:vAlign w:val="center"/>
          </w:tcPr>
          <w:p w14:paraId="2ABE247C">
            <w:pPr>
              <w:autoSpaceDE/>
              <w:autoSpaceDN/>
              <w:snapToGrid/>
              <w:spacing w:line="240" w:lineRule="auto"/>
              <w:ind w:firstLine="0" w:firstLineChars="0"/>
              <w:jc w:val="center"/>
              <w:rPr>
                <w:rFonts w:hint="eastAsia" w:ascii="宋体" w:hAnsi="宋体" w:eastAsia="宋体" w:cs="Times New Roman"/>
                <w:snapToGrid/>
                <w:color w:val="auto"/>
                <w:kern w:val="2"/>
                <w:sz w:val="24"/>
                <w:szCs w:val="28"/>
                <w:highlight w:val="none"/>
                <w:lang w:val="en-US" w:eastAsia="zh-CN"/>
              </w:rPr>
            </w:pPr>
            <w:r>
              <w:rPr>
                <w:rFonts w:hint="eastAsia" w:ascii="宋体" w:hAnsi="宋体" w:eastAsia="宋体" w:cs="Times New Roman"/>
                <w:snapToGrid/>
                <w:color w:val="auto"/>
                <w:kern w:val="2"/>
                <w:sz w:val="24"/>
                <w:szCs w:val="28"/>
                <w:highlight w:val="none"/>
                <w:lang w:val="en-US" w:eastAsia="zh-CN"/>
              </w:rPr>
              <w:t>主要起草人</w:t>
            </w:r>
            <w:r>
              <w:rPr>
                <w:rFonts w:hint="eastAsia" w:ascii="宋体" w:hAnsi="宋体" w:cs="Times New Roman"/>
                <w:snapToGrid/>
                <w:color w:val="auto"/>
                <w:kern w:val="2"/>
                <w:sz w:val="24"/>
                <w:szCs w:val="28"/>
                <w:highlight w:val="none"/>
                <w:lang w:val="en-US" w:eastAsia="zh-CN"/>
              </w:rPr>
              <w:t>，</w:t>
            </w:r>
            <w:r>
              <w:rPr>
                <w:rFonts w:hint="eastAsia" w:ascii="宋体" w:hAnsi="宋体" w:cs="Times New Roman"/>
                <w:snapToGrid/>
                <w:color w:val="000000" w:themeColor="text1"/>
                <w:kern w:val="2"/>
                <w:sz w:val="24"/>
                <w:szCs w:val="28"/>
                <w:highlight w:val="none"/>
                <w:lang w:val="en-US" w:eastAsia="zh-CN"/>
                <w14:textFill>
                  <w14:solidFill>
                    <w14:schemeClr w14:val="tx1"/>
                  </w14:solidFill>
                </w14:textFill>
              </w:rPr>
              <w:t>构建标准主要框架结构，参与标准全文编写</w:t>
            </w:r>
          </w:p>
        </w:tc>
      </w:tr>
      <w:tr w14:paraId="68F2A751">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jc w:val="center"/>
        </w:trPr>
        <w:tc>
          <w:tcPr>
            <w:tcW w:w="793" w:type="dxa"/>
            <w:tcBorders>
              <w:top w:val="single" w:color="auto" w:sz="6" w:space="0"/>
              <w:bottom w:val="single" w:color="auto" w:sz="6" w:space="0"/>
              <w:right w:val="single" w:color="auto" w:sz="6" w:space="0"/>
            </w:tcBorders>
            <w:noWrap w:val="0"/>
            <w:vAlign w:val="center"/>
          </w:tcPr>
          <w:p w14:paraId="1CB913E7">
            <w:pPr>
              <w:numPr>
                <w:ilvl w:val="0"/>
                <w:numId w:val="4"/>
              </w:numPr>
              <w:autoSpaceDE/>
              <w:autoSpaceDN/>
              <w:snapToGrid/>
              <w:spacing w:line="240" w:lineRule="auto"/>
              <w:ind w:left="425" w:leftChars="0" w:hanging="425" w:firstLineChars="0"/>
              <w:jc w:val="center"/>
              <w:rPr>
                <w:rFonts w:hint="eastAsia" w:ascii="宋体" w:hAnsi="宋体" w:eastAsia="宋体" w:cs="Times New Roman"/>
                <w:snapToGrid/>
                <w:color w:val="auto"/>
                <w:kern w:val="2"/>
                <w:sz w:val="24"/>
                <w:szCs w:val="28"/>
                <w:highlight w:val="none"/>
                <w:lang w:val="en-US" w:eastAsia="zh-CN"/>
              </w:rPr>
            </w:pPr>
          </w:p>
        </w:tc>
        <w:tc>
          <w:tcPr>
            <w:tcW w:w="1100" w:type="dxa"/>
            <w:tcBorders>
              <w:top w:val="single" w:color="auto" w:sz="6" w:space="0"/>
              <w:left w:val="single" w:color="auto" w:sz="6" w:space="0"/>
              <w:bottom w:val="single" w:color="auto" w:sz="6" w:space="0"/>
              <w:right w:val="single" w:color="auto" w:sz="6" w:space="0"/>
            </w:tcBorders>
            <w:shd w:val="clear" w:color="auto" w:fill="auto"/>
            <w:noWrap w:val="0"/>
            <w:vAlign w:val="center"/>
          </w:tcPr>
          <w:p w14:paraId="67B8B307">
            <w:pPr>
              <w:autoSpaceDE/>
              <w:autoSpaceDN/>
              <w:snapToGrid/>
              <w:spacing w:line="240" w:lineRule="auto"/>
              <w:ind w:firstLine="0" w:firstLineChars="0"/>
              <w:jc w:val="center"/>
              <w:rPr>
                <w:rFonts w:hint="eastAsia" w:ascii="宋体" w:hAnsi="宋体" w:eastAsia="宋体" w:cs="Times New Roman"/>
                <w:snapToGrid/>
                <w:color w:val="auto"/>
                <w:kern w:val="2"/>
                <w:sz w:val="24"/>
                <w:szCs w:val="28"/>
                <w:highlight w:val="none"/>
                <w:lang w:val="en-US" w:eastAsia="zh-CN" w:bidi="ar-SA"/>
              </w:rPr>
            </w:pPr>
            <w:r>
              <w:rPr>
                <w:rFonts w:hint="eastAsia" w:ascii="宋体" w:hAnsi="宋体" w:eastAsia="宋体" w:cs="Times New Roman"/>
                <w:snapToGrid/>
                <w:color w:val="auto"/>
                <w:kern w:val="2"/>
                <w:sz w:val="24"/>
                <w:szCs w:val="28"/>
                <w:highlight w:val="none"/>
                <w:lang w:val="en-US" w:eastAsia="zh-CN" w:bidi="ar-SA"/>
              </w:rPr>
              <w:t>顾  青</w:t>
            </w:r>
          </w:p>
        </w:tc>
        <w:tc>
          <w:tcPr>
            <w:tcW w:w="4150" w:type="dxa"/>
            <w:tcBorders>
              <w:top w:val="single" w:color="auto" w:sz="6" w:space="0"/>
              <w:left w:val="single" w:color="auto" w:sz="6" w:space="0"/>
              <w:bottom w:val="single" w:color="auto" w:sz="6" w:space="0"/>
              <w:right w:val="single" w:color="auto" w:sz="6" w:space="0"/>
            </w:tcBorders>
            <w:shd w:val="clear" w:color="auto" w:fill="auto"/>
            <w:noWrap w:val="0"/>
            <w:vAlign w:val="center"/>
          </w:tcPr>
          <w:p w14:paraId="4173A348">
            <w:pPr>
              <w:keepNext w:val="0"/>
              <w:keepLines w:val="0"/>
              <w:widowControl/>
              <w:suppressLineNumbers w:val="0"/>
              <w:jc w:val="center"/>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高新区（新吴区）民政和卫生健康局</w:t>
            </w:r>
          </w:p>
        </w:tc>
        <w:tc>
          <w:tcPr>
            <w:tcW w:w="2067" w:type="dxa"/>
            <w:tcBorders>
              <w:top w:val="single" w:color="auto" w:sz="6" w:space="0"/>
              <w:left w:val="single" w:color="auto" w:sz="6" w:space="0"/>
              <w:bottom w:val="single" w:color="auto" w:sz="6" w:space="0"/>
              <w:right w:val="single" w:color="auto" w:sz="6" w:space="0"/>
            </w:tcBorders>
            <w:noWrap w:val="0"/>
            <w:vAlign w:val="center"/>
          </w:tcPr>
          <w:p w14:paraId="0CDA3164">
            <w:pPr>
              <w:autoSpaceDE/>
              <w:autoSpaceDN/>
              <w:snapToGrid/>
              <w:spacing w:line="240" w:lineRule="auto"/>
              <w:ind w:firstLine="0" w:firstLineChars="0"/>
              <w:jc w:val="center"/>
              <w:rPr>
                <w:rFonts w:hint="default" w:ascii="宋体" w:hAnsi="宋体" w:eastAsia="宋体" w:cs="Times New Roman"/>
                <w:snapToGrid/>
                <w:color w:val="auto"/>
                <w:kern w:val="2"/>
                <w:sz w:val="24"/>
                <w:szCs w:val="28"/>
                <w:highlight w:val="none"/>
                <w:lang w:val="en-US" w:eastAsia="zh-CN"/>
              </w:rPr>
            </w:pPr>
            <w:r>
              <w:rPr>
                <w:rFonts w:hint="eastAsia" w:ascii="宋体" w:hAnsi="宋体" w:eastAsia="宋体" w:cs="Times New Roman"/>
                <w:snapToGrid/>
                <w:color w:val="auto"/>
                <w:kern w:val="2"/>
                <w:sz w:val="24"/>
                <w:szCs w:val="28"/>
                <w:highlight w:val="none"/>
                <w:lang w:val="en-US" w:eastAsia="zh-CN"/>
              </w:rPr>
              <w:t>主要起草人</w:t>
            </w:r>
            <w:r>
              <w:rPr>
                <w:rFonts w:hint="eastAsia" w:ascii="宋体" w:hAnsi="宋体" w:cs="Times New Roman"/>
                <w:snapToGrid/>
                <w:color w:val="auto"/>
                <w:kern w:val="2"/>
                <w:sz w:val="24"/>
                <w:szCs w:val="28"/>
                <w:highlight w:val="none"/>
                <w:lang w:val="en-US" w:eastAsia="zh-CN"/>
              </w:rPr>
              <w:t>，参与标准第5、6章编写</w:t>
            </w:r>
          </w:p>
        </w:tc>
      </w:tr>
      <w:tr w14:paraId="3B595F76">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jc w:val="center"/>
        </w:trPr>
        <w:tc>
          <w:tcPr>
            <w:tcW w:w="793" w:type="dxa"/>
            <w:tcBorders>
              <w:top w:val="single" w:color="auto" w:sz="6" w:space="0"/>
              <w:bottom w:val="single" w:color="auto" w:sz="6" w:space="0"/>
              <w:right w:val="single" w:color="auto" w:sz="6" w:space="0"/>
            </w:tcBorders>
            <w:noWrap w:val="0"/>
            <w:vAlign w:val="center"/>
          </w:tcPr>
          <w:p w14:paraId="71A32E43">
            <w:pPr>
              <w:numPr>
                <w:ilvl w:val="0"/>
                <w:numId w:val="4"/>
              </w:numPr>
              <w:autoSpaceDE/>
              <w:autoSpaceDN/>
              <w:snapToGrid/>
              <w:spacing w:line="240" w:lineRule="auto"/>
              <w:ind w:left="425" w:leftChars="0" w:hanging="425" w:firstLineChars="0"/>
              <w:jc w:val="center"/>
              <w:rPr>
                <w:rFonts w:hint="eastAsia" w:ascii="宋体" w:hAnsi="宋体" w:eastAsia="宋体" w:cs="Times New Roman"/>
                <w:snapToGrid/>
                <w:color w:val="auto"/>
                <w:kern w:val="2"/>
                <w:sz w:val="24"/>
                <w:szCs w:val="28"/>
                <w:highlight w:val="none"/>
                <w:lang w:val="en-US" w:eastAsia="zh-CN"/>
              </w:rPr>
            </w:pPr>
          </w:p>
        </w:tc>
        <w:tc>
          <w:tcPr>
            <w:tcW w:w="1100" w:type="dxa"/>
            <w:tcBorders>
              <w:top w:val="single" w:color="auto" w:sz="6" w:space="0"/>
              <w:left w:val="single" w:color="auto" w:sz="6" w:space="0"/>
              <w:bottom w:val="single" w:color="auto" w:sz="6" w:space="0"/>
              <w:right w:val="single" w:color="auto" w:sz="6" w:space="0"/>
            </w:tcBorders>
            <w:shd w:val="clear" w:color="auto" w:fill="auto"/>
            <w:noWrap w:val="0"/>
            <w:vAlign w:val="center"/>
          </w:tcPr>
          <w:p w14:paraId="4CC317A9">
            <w:pPr>
              <w:autoSpaceDE/>
              <w:autoSpaceDN/>
              <w:snapToGrid/>
              <w:spacing w:line="240" w:lineRule="auto"/>
              <w:ind w:firstLine="0" w:firstLineChars="0"/>
              <w:jc w:val="center"/>
              <w:rPr>
                <w:rFonts w:hint="eastAsia" w:ascii="宋体" w:hAnsi="宋体" w:eastAsia="宋体" w:cs="Times New Roman"/>
                <w:snapToGrid/>
                <w:color w:val="auto"/>
                <w:kern w:val="2"/>
                <w:sz w:val="24"/>
                <w:szCs w:val="28"/>
                <w:highlight w:val="none"/>
                <w:lang w:val="en-US" w:eastAsia="zh-CN" w:bidi="ar-SA"/>
              </w:rPr>
            </w:pPr>
            <w:r>
              <w:rPr>
                <w:rFonts w:hint="eastAsia" w:ascii="宋体" w:hAnsi="宋体" w:eastAsia="宋体" w:cs="Times New Roman"/>
                <w:snapToGrid/>
                <w:color w:val="auto"/>
                <w:kern w:val="2"/>
                <w:sz w:val="24"/>
                <w:szCs w:val="28"/>
                <w:highlight w:val="none"/>
                <w:lang w:val="en-US" w:eastAsia="zh-CN" w:bidi="ar-SA"/>
              </w:rPr>
              <w:t>王  威</w:t>
            </w:r>
          </w:p>
        </w:tc>
        <w:tc>
          <w:tcPr>
            <w:tcW w:w="4150" w:type="dxa"/>
            <w:tcBorders>
              <w:top w:val="single" w:color="auto" w:sz="6" w:space="0"/>
              <w:left w:val="single" w:color="auto" w:sz="6" w:space="0"/>
              <w:bottom w:val="single" w:color="auto" w:sz="6" w:space="0"/>
              <w:right w:val="single" w:color="auto" w:sz="6" w:space="0"/>
            </w:tcBorders>
            <w:shd w:val="clear" w:color="auto" w:fill="auto"/>
            <w:noWrap w:val="0"/>
            <w:vAlign w:val="center"/>
          </w:tcPr>
          <w:p w14:paraId="232EFE49">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苏州市健康养老产业发展集团有限公司</w:t>
            </w:r>
          </w:p>
        </w:tc>
        <w:tc>
          <w:tcPr>
            <w:tcW w:w="2067" w:type="dxa"/>
            <w:tcBorders>
              <w:top w:val="single" w:color="auto" w:sz="6" w:space="0"/>
              <w:left w:val="single" w:color="auto" w:sz="6" w:space="0"/>
              <w:bottom w:val="single" w:color="auto" w:sz="6" w:space="0"/>
              <w:right w:val="single" w:color="auto" w:sz="6" w:space="0"/>
            </w:tcBorders>
            <w:noWrap w:val="0"/>
            <w:vAlign w:val="center"/>
          </w:tcPr>
          <w:p w14:paraId="49C594AD">
            <w:pPr>
              <w:autoSpaceDE/>
              <w:autoSpaceDN/>
              <w:snapToGrid/>
              <w:spacing w:line="240" w:lineRule="auto"/>
              <w:ind w:firstLine="0" w:firstLineChars="0"/>
              <w:jc w:val="center"/>
              <w:rPr>
                <w:rFonts w:hint="default" w:ascii="宋体" w:hAnsi="宋体" w:eastAsia="宋体" w:cs="Times New Roman"/>
                <w:snapToGrid/>
                <w:color w:val="auto"/>
                <w:kern w:val="2"/>
                <w:sz w:val="24"/>
                <w:szCs w:val="28"/>
                <w:highlight w:val="none"/>
                <w:lang w:val="en-US" w:eastAsia="zh-CN" w:bidi="ar-SA"/>
              </w:rPr>
            </w:pPr>
            <w:r>
              <w:rPr>
                <w:rFonts w:hint="eastAsia" w:ascii="宋体" w:hAnsi="宋体" w:eastAsia="宋体" w:cs="Times New Roman"/>
                <w:snapToGrid/>
                <w:color w:val="auto"/>
                <w:kern w:val="2"/>
                <w:sz w:val="24"/>
                <w:szCs w:val="28"/>
                <w:highlight w:val="none"/>
                <w:lang w:val="en-US" w:eastAsia="zh-CN"/>
              </w:rPr>
              <w:t>主要起草人</w:t>
            </w:r>
            <w:r>
              <w:rPr>
                <w:rFonts w:hint="eastAsia" w:ascii="宋体" w:hAnsi="宋体" w:cs="Times New Roman"/>
                <w:snapToGrid/>
                <w:color w:val="auto"/>
                <w:kern w:val="2"/>
                <w:sz w:val="24"/>
                <w:szCs w:val="28"/>
                <w:highlight w:val="none"/>
                <w:lang w:val="en-US" w:eastAsia="zh-CN"/>
              </w:rPr>
              <w:t>，参与标准第5、6章编写</w:t>
            </w:r>
          </w:p>
        </w:tc>
      </w:tr>
      <w:tr w14:paraId="1B285108">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jc w:val="center"/>
        </w:trPr>
        <w:tc>
          <w:tcPr>
            <w:tcW w:w="793" w:type="dxa"/>
            <w:tcBorders>
              <w:top w:val="single" w:color="auto" w:sz="6" w:space="0"/>
              <w:bottom w:val="single" w:color="auto" w:sz="6" w:space="0"/>
              <w:right w:val="single" w:color="auto" w:sz="6" w:space="0"/>
            </w:tcBorders>
            <w:noWrap w:val="0"/>
            <w:vAlign w:val="center"/>
          </w:tcPr>
          <w:p w14:paraId="4D0F2897">
            <w:pPr>
              <w:numPr>
                <w:ilvl w:val="0"/>
                <w:numId w:val="4"/>
              </w:numPr>
              <w:autoSpaceDE/>
              <w:autoSpaceDN/>
              <w:snapToGrid/>
              <w:spacing w:line="240" w:lineRule="auto"/>
              <w:ind w:left="425" w:leftChars="0" w:hanging="425" w:firstLineChars="0"/>
              <w:jc w:val="center"/>
              <w:rPr>
                <w:rFonts w:hint="eastAsia" w:ascii="宋体" w:hAnsi="宋体" w:eastAsia="宋体" w:cs="Times New Roman"/>
                <w:snapToGrid/>
                <w:color w:val="auto"/>
                <w:kern w:val="2"/>
                <w:sz w:val="24"/>
                <w:szCs w:val="28"/>
                <w:highlight w:val="none"/>
                <w:lang w:val="en-US" w:eastAsia="zh-CN"/>
              </w:rPr>
            </w:pPr>
          </w:p>
        </w:tc>
        <w:tc>
          <w:tcPr>
            <w:tcW w:w="1100" w:type="dxa"/>
            <w:tcBorders>
              <w:top w:val="single" w:color="auto" w:sz="6" w:space="0"/>
              <w:left w:val="single" w:color="auto" w:sz="6" w:space="0"/>
              <w:bottom w:val="single" w:color="auto" w:sz="6" w:space="0"/>
              <w:right w:val="single" w:color="auto" w:sz="6" w:space="0"/>
            </w:tcBorders>
            <w:shd w:val="clear" w:color="auto" w:fill="auto"/>
            <w:noWrap w:val="0"/>
            <w:vAlign w:val="center"/>
          </w:tcPr>
          <w:p w14:paraId="3F9863F8">
            <w:pPr>
              <w:autoSpaceDE/>
              <w:autoSpaceDN/>
              <w:snapToGrid/>
              <w:spacing w:line="240" w:lineRule="auto"/>
              <w:ind w:firstLine="0" w:firstLineChars="0"/>
              <w:jc w:val="center"/>
              <w:rPr>
                <w:rFonts w:hint="eastAsia" w:ascii="宋体" w:hAnsi="宋体" w:eastAsia="宋体" w:cs="Times New Roman"/>
                <w:snapToGrid/>
                <w:color w:val="auto"/>
                <w:kern w:val="2"/>
                <w:sz w:val="24"/>
                <w:szCs w:val="28"/>
                <w:highlight w:val="none"/>
                <w:lang w:val="en-US" w:eastAsia="zh-CN" w:bidi="ar-SA"/>
              </w:rPr>
            </w:pPr>
            <w:r>
              <w:rPr>
                <w:rFonts w:hint="eastAsia" w:ascii="宋体" w:hAnsi="宋体" w:eastAsia="宋体" w:cs="Times New Roman"/>
                <w:snapToGrid/>
                <w:color w:val="auto"/>
                <w:kern w:val="2"/>
                <w:sz w:val="24"/>
                <w:szCs w:val="28"/>
                <w:highlight w:val="none"/>
                <w:lang w:val="en-US" w:eastAsia="zh-CN" w:bidi="ar-SA"/>
              </w:rPr>
              <w:t>高武波</w:t>
            </w:r>
          </w:p>
        </w:tc>
        <w:tc>
          <w:tcPr>
            <w:tcW w:w="4150" w:type="dxa"/>
            <w:tcBorders>
              <w:top w:val="single" w:color="auto" w:sz="6" w:space="0"/>
              <w:left w:val="single" w:color="auto" w:sz="6" w:space="0"/>
              <w:bottom w:val="single" w:color="auto" w:sz="6" w:space="0"/>
              <w:right w:val="single" w:color="auto" w:sz="6" w:space="0"/>
            </w:tcBorders>
            <w:shd w:val="clear" w:color="auto" w:fill="auto"/>
            <w:noWrap w:val="0"/>
            <w:vAlign w:val="center"/>
          </w:tcPr>
          <w:p w14:paraId="3E72D52C">
            <w:pPr>
              <w:keepNext w:val="0"/>
              <w:keepLines w:val="0"/>
              <w:widowControl/>
              <w:suppressLineNumbers w:val="0"/>
              <w:jc w:val="center"/>
              <w:textAlignment w:val="center"/>
              <w:rPr>
                <w:rFonts w:hint="default"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高新区（新吴区）市场监督管理局</w:t>
            </w:r>
          </w:p>
        </w:tc>
        <w:tc>
          <w:tcPr>
            <w:tcW w:w="2067" w:type="dxa"/>
            <w:tcBorders>
              <w:top w:val="single" w:color="auto" w:sz="6" w:space="0"/>
              <w:left w:val="single" w:color="auto" w:sz="6" w:space="0"/>
              <w:bottom w:val="single" w:color="auto" w:sz="6" w:space="0"/>
              <w:right w:val="single" w:color="auto" w:sz="6" w:space="0"/>
            </w:tcBorders>
            <w:noWrap w:val="0"/>
            <w:vAlign w:val="center"/>
          </w:tcPr>
          <w:p w14:paraId="5D85E139">
            <w:pPr>
              <w:autoSpaceDE/>
              <w:autoSpaceDN/>
              <w:snapToGrid/>
              <w:spacing w:line="240" w:lineRule="auto"/>
              <w:ind w:firstLine="0" w:firstLineChars="0"/>
              <w:jc w:val="center"/>
              <w:rPr>
                <w:rFonts w:hint="eastAsia" w:ascii="宋体" w:hAnsi="宋体" w:eastAsia="宋体" w:cs="Times New Roman"/>
                <w:snapToGrid/>
                <w:color w:val="auto"/>
                <w:kern w:val="2"/>
                <w:sz w:val="24"/>
                <w:szCs w:val="28"/>
                <w:highlight w:val="none"/>
                <w:lang w:val="en-US" w:eastAsia="zh-CN" w:bidi="ar-SA"/>
              </w:rPr>
            </w:pPr>
            <w:r>
              <w:rPr>
                <w:rFonts w:hint="eastAsia" w:ascii="宋体" w:hAnsi="宋体" w:eastAsia="宋体" w:cs="Times New Roman"/>
                <w:snapToGrid/>
                <w:color w:val="auto"/>
                <w:kern w:val="2"/>
                <w:sz w:val="24"/>
                <w:szCs w:val="28"/>
                <w:highlight w:val="none"/>
                <w:lang w:val="en-US" w:eastAsia="zh-CN"/>
              </w:rPr>
              <w:t>起草人</w:t>
            </w:r>
            <w:r>
              <w:rPr>
                <w:rFonts w:hint="eastAsia" w:ascii="宋体" w:hAnsi="宋体" w:cs="Times New Roman"/>
                <w:snapToGrid/>
                <w:color w:val="auto"/>
                <w:kern w:val="2"/>
                <w:sz w:val="24"/>
                <w:szCs w:val="28"/>
                <w:highlight w:val="none"/>
                <w:lang w:val="en-US" w:eastAsia="zh-CN"/>
              </w:rPr>
              <w:t>，参与标准第5、6章编写</w:t>
            </w:r>
          </w:p>
        </w:tc>
      </w:tr>
      <w:tr w14:paraId="334E0B3C">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jc w:val="center"/>
        </w:trPr>
        <w:tc>
          <w:tcPr>
            <w:tcW w:w="793" w:type="dxa"/>
            <w:tcBorders>
              <w:top w:val="single" w:color="auto" w:sz="6" w:space="0"/>
              <w:bottom w:val="single" w:color="auto" w:sz="6" w:space="0"/>
              <w:right w:val="single" w:color="auto" w:sz="6" w:space="0"/>
            </w:tcBorders>
            <w:noWrap w:val="0"/>
            <w:vAlign w:val="center"/>
          </w:tcPr>
          <w:p w14:paraId="49EDB9EB">
            <w:pPr>
              <w:numPr>
                <w:ilvl w:val="0"/>
                <w:numId w:val="4"/>
              </w:numPr>
              <w:autoSpaceDE/>
              <w:autoSpaceDN/>
              <w:snapToGrid/>
              <w:spacing w:line="240" w:lineRule="auto"/>
              <w:ind w:left="425" w:leftChars="0" w:hanging="425" w:firstLineChars="0"/>
              <w:jc w:val="center"/>
              <w:rPr>
                <w:rFonts w:hint="eastAsia" w:ascii="宋体" w:hAnsi="宋体" w:eastAsia="宋体" w:cs="Times New Roman"/>
                <w:snapToGrid/>
                <w:color w:val="auto"/>
                <w:kern w:val="2"/>
                <w:sz w:val="24"/>
                <w:szCs w:val="28"/>
                <w:highlight w:val="none"/>
                <w:lang w:val="en-US" w:eastAsia="zh-CN"/>
              </w:rPr>
            </w:pPr>
          </w:p>
        </w:tc>
        <w:tc>
          <w:tcPr>
            <w:tcW w:w="1100" w:type="dxa"/>
            <w:tcBorders>
              <w:top w:val="single" w:color="auto" w:sz="6" w:space="0"/>
              <w:left w:val="single" w:color="auto" w:sz="6" w:space="0"/>
              <w:bottom w:val="single" w:color="auto" w:sz="6" w:space="0"/>
              <w:right w:val="single" w:color="auto" w:sz="6" w:space="0"/>
            </w:tcBorders>
            <w:shd w:val="clear" w:color="auto" w:fill="auto"/>
            <w:noWrap w:val="0"/>
            <w:vAlign w:val="center"/>
          </w:tcPr>
          <w:p w14:paraId="7C4CC47E">
            <w:pPr>
              <w:autoSpaceDE/>
              <w:autoSpaceDN/>
              <w:snapToGrid/>
              <w:spacing w:line="240" w:lineRule="auto"/>
              <w:ind w:firstLine="0" w:firstLineChars="0"/>
              <w:jc w:val="center"/>
              <w:rPr>
                <w:rFonts w:hint="eastAsia" w:ascii="宋体" w:hAnsi="宋体" w:eastAsia="宋体" w:cs="Times New Roman"/>
                <w:snapToGrid/>
                <w:color w:val="auto"/>
                <w:kern w:val="2"/>
                <w:sz w:val="24"/>
                <w:szCs w:val="28"/>
                <w:highlight w:val="none"/>
                <w:lang w:val="en-US" w:eastAsia="zh-CN" w:bidi="ar-SA"/>
              </w:rPr>
            </w:pPr>
            <w:r>
              <w:rPr>
                <w:rFonts w:hint="eastAsia" w:ascii="宋体" w:hAnsi="宋体" w:eastAsia="宋体" w:cs="Times New Roman"/>
                <w:snapToGrid/>
                <w:color w:val="auto"/>
                <w:kern w:val="2"/>
                <w:sz w:val="24"/>
                <w:szCs w:val="28"/>
                <w:highlight w:val="none"/>
                <w:lang w:val="en-US" w:eastAsia="zh-CN" w:bidi="ar-SA"/>
              </w:rPr>
              <w:t>陈卫红</w:t>
            </w:r>
          </w:p>
        </w:tc>
        <w:tc>
          <w:tcPr>
            <w:tcW w:w="4150" w:type="dxa"/>
            <w:tcBorders>
              <w:top w:val="single" w:color="auto" w:sz="6" w:space="0"/>
              <w:left w:val="single" w:color="auto" w:sz="6" w:space="0"/>
              <w:bottom w:val="single" w:color="auto" w:sz="6" w:space="0"/>
              <w:right w:val="single" w:color="auto" w:sz="6" w:space="0"/>
            </w:tcBorders>
            <w:shd w:val="clear" w:color="auto" w:fill="auto"/>
            <w:noWrap w:val="0"/>
            <w:vAlign w:val="center"/>
          </w:tcPr>
          <w:p w14:paraId="2BB3260E">
            <w:pPr>
              <w:keepNext w:val="0"/>
              <w:keepLines w:val="0"/>
              <w:widowControl/>
              <w:suppressLineNumbers w:val="0"/>
              <w:jc w:val="center"/>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无锡市新吴区江溪街道</w:t>
            </w:r>
          </w:p>
        </w:tc>
        <w:tc>
          <w:tcPr>
            <w:tcW w:w="2067" w:type="dxa"/>
            <w:tcBorders>
              <w:top w:val="single" w:color="auto" w:sz="6" w:space="0"/>
              <w:left w:val="single" w:color="auto" w:sz="6" w:space="0"/>
              <w:bottom w:val="single" w:color="auto" w:sz="6" w:space="0"/>
              <w:right w:val="single" w:color="auto" w:sz="6" w:space="0"/>
            </w:tcBorders>
            <w:noWrap w:val="0"/>
            <w:vAlign w:val="center"/>
          </w:tcPr>
          <w:p w14:paraId="6371144E">
            <w:pPr>
              <w:autoSpaceDE/>
              <w:autoSpaceDN/>
              <w:snapToGrid/>
              <w:spacing w:line="240" w:lineRule="auto"/>
              <w:ind w:firstLine="0" w:firstLineChars="0"/>
              <w:jc w:val="center"/>
              <w:rPr>
                <w:rFonts w:hint="eastAsia" w:ascii="宋体" w:hAnsi="宋体" w:eastAsia="宋体" w:cs="Times New Roman"/>
                <w:snapToGrid/>
                <w:color w:val="auto"/>
                <w:kern w:val="2"/>
                <w:sz w:val="24"/>
                <w:szCs w:val="28"/>
                <w:highlight w:val="none"/>
                <w:lang w:val="en-US" w:eastAsia="zh-CN" w:bidi="ar-SA"/>
              </w:rPr>
            </w:pPr>
            <w:r>
              <w:rPr>
                <w:rFonts w:hint="eastAsia" w:ascii="宋体" w:hAnsi="宋体" w:eastAsia="宋体" w:cs="Times New Roman"/>
                <w:snapToGrid/>
                <w:color w:val="auto"/>
                <w:kern w:val="2"/>
                <w:sz w:val="24"/>
                <w:szCs w:val="28"/>
                <w:highlight w:val="none"/>
                <w:lang w:val="en-US" w:eastAsia="zh-CN"/>
              </w:rPr>
              <w:t>起草人</w:t>
            </w:r>
            <w:r>
              <w:rPr>
                <w:rFonts w:hint="eastAsia" w:ascii="宋体" w:hAnsi="宋体" w:cs="Times New Roman"/>
                <w:snapToGrid/>
                <w:color w:val="auto"/>
                <w:kern w:val="2"/>
                <w:sz w:val="24"/>
                <w:szCs w:val="28"/>
                <w:highlight w:val="none"/>
                <w:lang w:val="en-US" w:eastAsia="zh-CN"/>
              </w:rPr>
              <w:t>，参与标准第5、6章编写</w:t>
            </w:r>
          </w:p>
        </w:tc>
      </w:tr>
      <w:tr w14:paraId="64210B7E">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jc w:val="center"/>
        </w:trPr>
        <w:tc>
          <w:tcPr>
            <w:tcW w:w="793" w:type="dxa"/>
            <w:tcBorders>
              <w:top w:val="single" w:color="auto" w:sz="6" w:space="0"/>
              <w:bottom w:val="single" w:color="auto" w:sz="6" w:space="0"/>
              <w:right w:val="single" w:color="auto" w:sz="6" w:space="0"/>
            </w:tcBorders>
            <w:noWrap w:val="0"/>
            <w:vAlign w:val="center"/>
          </w:tcPr>
          <w:p w14:paraId="493B68E1">
            <w:pPr>
              <w:numPr>
                <w:ilvl w:val="0"/>
                <w:numId w:val="4"/>
              </w:numPr>
              <w:autoSpaceDE/>
              <w:autoSpaceDN/>
              <w:snapToGrid/>
              <w:spacing w:line="240" w:lineRule="auto"/>
              <w:ind w:left="425" w:leftChars="0" w:hanging="425" w:firstLineChars="0"/>
              <w:jc w:val="center"/>
              <w:rPr>
                <w:rFonts w:hint="eastAsia" w:ascii="宋体" w:hAnsi="宋体" w:eastAsia="宋体" w:cs="Times New Roman"/>
                <w:snapToGrid/>
                <w:color w:val="auto"/>
                <w:kern w:val="2"/>
                <w:sz w:val="24"/>
                <w:szCs w:val="28"/>
                <w:highlight w:val="none"/>
                <w:lang w:val="en-US" w:eastAsia="zh-CN"/>
              </w:rPr>
            </w:pPr>
          </w:p>
        </w:tc>
        <w:tc>
          <w:tcPr>
            <w:tcW w:w="1100" w:type="dxa"/>
            <w:tcBorders>
              <w:top w:val="single" w:color="auto" w:sz="6" w:space="0"/>
              <w:left w:val="single" w:color="auto" w:sz="6" w:space="0"/>
              <w:bottom w:val="single" w:color="auto" w:sz="6" w:space="0"/>
              <w:right w:val="single" w:color="auto" w:sz="6" w:space="0"/>
            </w:tcBorders>
            <w:shd w:val="clear" w:color="auto" w:fill="auto"/>
            <w:noWrap w:val="0"/>
            <w:vAlign w:val="center"/>
          </w:tcPr>
          <w:p w14:paraId="77D667E5">
            <w:pPr>
              <w:autoSpaceDE/>
              <w:autoSpaceDN/>
              <w:snapToGrid/>
              <w:spacing w:line="240" w:lineRule="auto"/>
              <w:ind w:firstLine="0" w:firstLineChars="0"/>
              <w:jc w:val="center"/>
              <w:rPr>
                <w:rFonts w:hint="eastAsia" w:ascii="宋体" w:hAnsi="宋体" w:eastAsia="宋体" w:cs="Times New Roman"/>
                <w:snapToGrid/>
                <w:color w:val="auto"/>
                <w:kern w:val="2"/>
                <w:sz w:val="24"/>
                <w:szCs w:val="28"/>
                <w:highlight w:val="none"/>
                <w:lang w:val="en-US" w:eastAsia="zh-CN" w:bidi="ar-SA"/>
              </w:rPr>
            </w:pPr>
            <w:r>
              <w:rPr>
                <w:rFonts w:hint="eastAsia" w:ascii="宋体" w:hAnsi="宋体" w:eastAsia="宋体" w:cs="Times New Roman"/>
                <w:snapToGrid/>
                <w:color w:val="auto"/>
                <w:kern w:val="2"/>
                <w:sz w:val="24"/>
                <w:szCs w:val="28"/>
                <w:highlight w:val="none"/>
                <w:lang w:val="en-US" w:eastAsia="zh-CN" w:bidi="ar-SA"/>
              </w:rPr>
              <w:t>周  栋</w:t>
            </w:r>
          </w:p>
        </w:tc>
        <w:tc>
          <w:tcPr>
            <w:tcW w:w="4150" w:type="dxa"/>
            <w:tcBorders>
              <w:top w:val="single" w:color="auto" w:sz="6" w:space="0"/>
              <w:left w:val="single" w:color="auto" w:sz="6" w:space="0"/>
              <w:bottom w:val="single" w:color="auto" w:sz="6" w:space="0"/>
              <w:right w:val="single" w:color="auto" w:sz="6" w:space="0"/>
            </w:tcBorders>
            <w:shd w:val="clear" w:color="auto" w:fill="auto"/>
            <w:noWrap w:val="0"/>
            <w:vAlign w:val="center"/>
          </w:tcPr>
          <w:p w14:paraId="49BF19BC">
            <w:pPr>
              <w:keepNext w:val="0"/>
              <w:keepLines w:val="0"/>
              <w:widowControl/>
              <w:suppressLineNumbers w:val="0"/>
              <w:jc w:val="center"/>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无锡市新吴区江溪街道</w:t>
            </w:r>
          </w:p>
        </w:tc>
        <w:tc>
          <w:tcPr>
            <w:tcW w:w="2067" w:type="dxa"/>
            <w:tcBorders>
              <w:top w:val="single" w:color="auto" w:sz="6" w:space="0"/>
              <w:left w:val="single" w:color="auto" w:sz="6" w:space="0"/>
              <w:bottom w:val="single" w:color="auto" w:sz="6" w:space="0"/>
              <w:right w:val="single" w:color="auto" w:sz="6" w:space="0"/>
            </w:tcBorders>
            <w:noWrap w:val="0"/>
            <w:vAlign w:val="center"/>
          </w:tcPr>
          <w:p w14:paraId="143CCB19">
            <w:pPr>
              <w:autoSpaceDE/>
              <w:autoSpaceDN/>
              <w:snapToGrid/>
              <w:spacing w:line="240" w:lineRule="auto"/>
              <w:ind w:firstLine="0" w:firstLineChars="0"/>
              <w:jc w:val="center"/>
              <w:rPr>
                <w:rFonts w:hint="default" w:ascii="宋体" w:hAnsi="宋体" w:eastAsia="宋体" w:cs="Times New Roman"/>
                <w:snapToGrid/>
                <w:color w:val="auto"/>
                <w:kern w:val="2"/>
                <w:sz w:val="24"/>
                <w:szCs w:val="28"/>
                <w:highlight w:val="none"/>
                <w:lang w:val="en-US" w:eastAsia="zh-CN" w:bidi="ar-SA"/>
              </w:rPr>
            </w:pPr>
            <w:r>
              <w:rPr>
                <w:rFonts w:hint="eastAsia" w:ascii="宋体" w:hAnsi="宋体" w:eastAsia="宋体" w:cs="Times New Roman"/>
                <w:snapToGrid/>
                <w:color w:val="auto"/>
                <w:kern w:val="2"/>
                <w:sz w:val="24"/>
                <w:szCs w:val="28"/>
                <w:highlight w:val="none"/>
                <w:lang w:val="en-US" w:eastAsia="zh-CN"/>
              </w:rPr>
              <w:t>起草人</w:t>
            </w:r>
            <w:r>
              <w:rPr>
                <w:rFonts w:hint="eastAsia" w:ascii="宋体" w:hAnsi="宋体" w:cs="Times New Roman"/>
                <w:snapToGrid/>
                <w:color w:val="auto"/>
                <w:kern w:val="2"/>
                <w:sz w:val="24"/>
                <w:szCs w:val="28"/>
                <w:highlight w:val="none"/>
                <w:lang w:val="en-US" w:eastAsia="zh-CN"/>
              </w:rPr>
              <w:t>，参与标准第5、6章编写</w:t>
            </w:r>
          </w:p>
        </w:tc>
      </w:tr>
      <w:tr w14:paraId="30F649E2">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jc w:val="center"/>
        </w:trPr>
        <w:tc>
          <w:tcPr>
            <w:tcW w:w="793" w:type="dxa"/>
            <w:tcBorders>
              <w:top w:val="single" w:color="auto" w:sz="6" w:space="0"/>
              <w:bottom w:val="single" w:color="auto" w:sz="6" w:space="0"/>
              <w:right w:val="single" w:color="auto" w:sz="6" w:space="0"/>
            </w:tcBorders>
            <w:noWrap w:val="0"/>
            <w:vAlign w:val="center"/>
          </w:tcPr>
          <w:p w14:paraId="07023CB4">
            <w:pPr>
              <w:numPr>
                <w:ilvl w:val="0"/>
                <w:numId w:val="4"/>
              </w:numPr>
              <w:autoSpaceDE/>
              <w:autoSpaceDN/>
              <w:snapToGrid/>
              <w:spacing w:line="240" w:lineRule="auto"/>
              <w:ind w:left="425" w:leftChars="0" w:hanging="425" w:firstLineChars="0"/>
              <w:jc w:val="center"/>
              <w:rPr>
                <w:rFonts w:hint="default" w:ascii="宋体" w:hAnsi="宋体" w:eastAsia="宋体" w:cs="Times New Roman"/>
                <w:snapToGrid/>
                <w:color w:val="auto"/>
                <w:kern w:val="2"/>
                <w:sz w:val="24"/>
                <w:szCs w:val="28"/>
                <w:highlight w:val="none"/>
                <w:lang w:val="en-US" w:eastAsia="zh-CN"/>
              </w:rPr>
            </w:pPr>
          </w:p>
        </w:tc>
        <w:tc>
          <w:tcPr>
            <w:tcW w:w="1100" w:type="dxa"/>
            <w:tcBorders>
              <w:top w:val="single" w:color="auto" w:sz="6" w:space="0"/>
              <w:left w:val="single" w:color="auto" w:sz="6" w:space="0"/>
              <w:bottom w:val="single" w:color="auto" w:sz="6" w:space="0"/>
              <w:right w:val="single" w:color="auto" w:sz="6" w:space="0"/>
            </w:tcBorders>
            <w:shd w:val="clear" w:color="auto" w:fill="auto"/>
            <w:noWrap w:val="0"/>
            <w:vAlign w:val="center"/>
          </w:tcPr>
          <w:p w14:paraId="25FC0950">
            <w:pPr>
              <w:autoSpaceDE/>
              <w:autoSpaceDN/>
              <w:snapToGrid/>
              <w:spacing w:line="240" w:lineRule="auto"/>
              <w:ind w:firstLine="0" w:firstLineChars="0"/>
              <w:jc w:val="center"/>
              <w:rPr>
                <w:rFonts w:hint="eastAsia" w:ascii="宋体" w:hAnsi="宋体" w:eastAsia="宋体" w:cs="Times New Roman"/>
                <w:snapToGrid/>
                <w:color w:val="auto"/>
                <w:kern w:val="2"/>
                <w:sz w:val="24"/>
                <w:szCs w:val="28"/>
                <w:highlight w:val="none"/>
                <w:lang w:val="en-US" w:eastAsia="zh-CN" w:bidi="ar-SA"/>
              </w:rPr>
            </w:pPr>
            <w:r>
              <w:rPr>
                <w:rFonts w:hint="eastAsia" w:ascii="宋体" w:hAnsi="宋体" w:eastAsia="宋体" w:cs="Times New Roman"/>
                <w:snapToGrid/>
                <w:color w:val="auto"/>
                <w:kern w:val="2"/>
                <w:sz w:val="24"/>
                <w:szCs w:val="28"/>
                <w:highlight w:val="none"/>
                <w:lang w:val="en-US" w:eastAsia="zh-CN" w:bidi="ar-SA"/>
              </w:rPr>
              <w:t>辛圣旦</w:t>
            </w:r>
          </w:p>
        </w:tc>
        <w:tc>
          <w:tcPr>
            <w:tcW w:w="4150" w:type="dxa"/>
            <w:tcBorders>
              <w:top w:val="single" w:color="auto" w:sz="6" w:space="0"/>
              <w:left w:val="single" w:color="auto" w:sz="6" w:space="0"/>
              <w:bottom w:val="single" w:color="auto" w:sz="6" w:space="0"/>
              <w:right w:val="single" w:color="auto" w:sz="6" w:space="0"/>
            </w:tcBorders>
            <w:shd w:val="clear" w:color="auto" w:fill="auto"/>
            <w:noWrap w:val="0"/>
            <w:vAlign w:val="center"/>
          </w:tcPr>
          <w:p w14:paraId="7B481A45">
            <w:pPr>
              <w:keepNext w:val="0"/>
              <w:keepLines w:val="0"/>
              <w:widowControl/>
              <w:suppressLineNumbers w:val="0"/>
              <w:jc w:val="center"/>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无锡市新吴区江溪街道</w:t>
            </w:r>
          </w:p>
        </w:tc>
        <w:tc>
          <w:tcPr>
            <w:tcW w:w="2067" w:type="dxa"/>
            <w:tcBorders>
              <w:top w:val="single" w:color="auto" w:sz="6" w:space="0"/>
              <w:left w:val="single" w:color="auto" w:sz="6" w:space="0"/>
              <w:bottom w:val="single" w:color="auto" w:sz="6" w:space="0"/>
              <w:right w:val="single" w:color="auto" w:sz="6" w:space="0"/>
            </w:tcBorders>
            <w:noWrap w:val="0"/>
            <w:vAlign w:val="center"/>
          </w:tcPr>
          <w:p w14:paraId="486E5E7E">
            <w:pPr>
              <w:autoSpaceDE/>
              <w:autoSpaceDN/>
              <w:snapToGrid/>
              <w:spacing w:line="240" w:lineRule="auto"/>
              <w:ind w:firstLine="0" w:firstLineChars="0"/>
              <w:jc w:val="center"/>
              <w:rPr>
                <w:rFonts w:hint="default" w:ascii="宋体" w:hAnsi="宋体" w:eastAsia="宋体" w:cs="Times New Roman"/>
                <w:snapToGrid/>
                <w:color w:val="auto"/>
                <w:kern w:val="2"/>
                <w:sz w:val="24"/>
                <w:szCs w:val="28"/>
                <w:highlight w:val="none"/>
                <w:lang w:val="en-US" w:eastAsia="zh-CN" w:bidi="ar-SA"/>
              </w:rPr>
            </w:pPr>
            <w:r>
              <w:rPr>
                <w:rFonts w:hint="eastAsia" w:ascii="宋体" w:hAnsi="宋体" w:eastAsia="宋体" w:cs="Times New Roman"/>
                <w:snapToGrid/>
                <w:color w:val="auto"/>
                <w:kern w:val="2"/>
                <w:sz w:val="24"/>
                <w:szCs w:val="28"/>
                <w:highlight w:val="none"/>
                <w:lang w:val="en-US" w:eastAsia="zh-CN"/>
              </w:rPr>
              <w:t>起草人</w:t>
            </w:r>
            <w:r>
              <w:rPr>
                <w:rFonts w:hint="eastAsia" w:ascii="宋体" w:hAnsi="宋体" w:cs="Times New Roman"/>
                <w:snapToGrid/>
                <w:color w:val="auto"/>
                <w:kern w:val="2"/>
                <w:sz w:val="24"/>
                <w:szCs w:val="28"/>
                <w:highlight w:val="none"/>
                <w:lang w:val="en-US" w:eastAsia="zh-CN"/>
              </w:rPr>
              <w:t>，参与标准第5、6章编写</w:t>
            </w:r>
          </w:p>
        </w:tc>
      </w:tr>
      <w:tr w14:paraId="6A065D5F">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jc w:val="center"/>
        </w:trPr>
        <w:tc>
          <w:tcPr>
            <w:tcW w:w="793" w:type="dxa"/>
            <w:tcBorders>
              <w:top w:val="single" w:color="auto" w:sz="6" w:space="0"/>
              <w:bottom w:val="single" w:color="auto" w:sz="6" w:space="0"/>
              <w:right w:val="single" w:color="auto" w:sz="6" w:space="0"/>
            </w:tcBorders>
            <w:noWrap w:val="0"/>
            <w:vAlign w:val="center"/>
          </w:tcPr>
          <w:p w14:paraId="02FD31AA">
            <w:pPr>
              <w:numPr>
                <w:ilvl w:val="0"/>
                <w:numId w:val="4"/>
              </w:numPr>
              <w:autoSpaceDE/>
              <w:autoSpaceDN/>
              <w:snapToGrid/>
              <w:spacing w:line="240" w:lineRule="auto"/>
              <w:ind w:left="425" w:leftChars="0" w:hanging="425" w:firstLineChars="0"/>
              <w:jc w:val="center"/>
              <w:rPr>
                <w:rFonts w:hint="default" w:ascii="宋体" w:hAnsi="宋体" w:eastAsia="宋体" w:cs="Times New Roman"/>
                <w:snapToGrid/>
                <w:color w:val="auto"/>
                <w:kern w:val="2"/>
                <w:sz w:val="24"/>
                <w:szCs w:val="28"/>
                <w:highlight w:val="none"/>
                <w:lang w:val="en-US" w:eastAsia="zh-CN"/>
              </w:rPr>
            </w:pPr>
          </w:p>
        </w:tc>
        <w:tc>
          <w:tcPr>
            <w:tcW w:w="1100" w:type="dxa"/>
            <w:tcBorders>
              <w:top w:val="single" w:color="auto" w:sz="6" w:space="0"/>
              <w:left w:val="single" w:color="auto" w:sz="6" w:space="0"/>
              <w:bottom w:val="single" w:color="auto" w:sz="6" w:space="0"/>
              <w:right w:val="single" w:color="auto" w:sz="6" w:space="0"/>
            </w:tcBorders>
            <w:shd w:val="clear" w:color="auto" w:fill="auto"/>
            <w:noWrap w:val="0"/>
            <w:vAlign w:val="center"/>
          </w:tcPr>
          <w:p w14:paraId="41C61A82">
            <w:pPr>
              <w:autoSpaceDE/>
              <w:autoSpaceDN/>
              <w:snapToGrid/>
              <w:spacing w:line="240" w:lineRule="auto"/>
              <w:ind w:firstLine="0" w:firstLineChars="0"/>
              <w:jc w:val="center"/>
              <w:rPr>
                <w:rFonts w:hint="eastAsia" w:ascii="宋体" w:hAnsi="宋体" w:eastAsia="宋体" w:cs="Times New Roman"/>
                <w:snapToGrid/>
                <w:color w:val="auto"/>
                <w:kern w:val="2"/>
                <w:sz w:val="24"/>
                <w:szCs w:val="28"/>
                <w:highlight w:val="none"/>
                <w:lang w:val="en-US" w:eastAsia="zh-CN" w:bidi="ar-SA"/>
              </w:rPr>
            </w:pPr>
            <w:r>
              <w:rPr>
                <w:rFonts w:hint="eastAsia" w:ascii="宋体" w:hAnsi="宋体" w:eastAsia="宋体" w:cs="Times New Roman"/>
                <w:snapToGrid/>
                <w:color w:val="auto"/>
                <w:kern w:val="2"/>
                <w:sz w:val="24"/>
                <w:szCs w:val="28"/>
                <w:highlight w:val="none"/>
                <w:lang w:val="en-US" w:eastAsia="zh-CN" w:bidi="ar-SA"/>
              </w:rPr>
              <w:t>胡凌燕</w:t>
            </w:r>
          </w:p>
        </w:tc>
        <w:tc>
          <w:tcPr>
            <w:tcW w:w="4150" w:type="dxa"/>
            <w:tcBorders>
              <w:top w:val="single" w:color="auto" w:sz="6" w:space="0"/>
              <w:left w:val="single" w:color="auto" w:sz="6" w:space="0"/>
              <w:bottom w:val="single" w:color="auto" w:sz="6" w:space="0"/>
              <w:right w:val="single" w:color="auto" w:sz="6" w:space="0"/>
            </w:tcBorders>
            <w:shd w:val="clear" w:color="auto" w:fill="auto"/>
            <w:noWrap w:val="0"/>
            <w:vAlign w:val="center"/>
          </w:tcPr>
          <w:p w14:paraId="1B689C32">
            <w:pPr>
              <w:keepNext w:val="0"/>
              <w:keepLines w:val="0"/>
              <w:widowControl/>
              <w:suppressLineNumbers w:val="0"/>
              <w:jc w:val="center"/>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无锡市新吴区江溪街道</w:t>
            </w:r>
          </w:p>
        </w:tc>
        <w:tc>
          <w:tcPr>
            <w:tcW w:w="2067" w:type="dxa"/>
            <w:tcBorders>
              <w:top w:val="single" w:color="auto" w:sz="6" w:space="0"/>
              <w:left w:val="single" w:color="auto" w:sz="6" w:space="0"/>
              <w:bottom w:val="single" w:color="auto" w:sz="6" w:space="0"/>
              <w:right w:val="single" w:color="auto" w:sz="6" w:space="0"/>
            </w:tcBorders>
            <w:noWrap w:val="0"/>
            <w:vAlign w:val="center"/>
          </w:tcPr>
          <w:p w14:paraId="022746AE">
            <w:pPr>
              <w:autoSpaceDE/>
              <w:autoSpaceDN/>
              <w:snapToGrid/>
              <w:spacing w:line="240" w:lineRule="auto"/>
              <w:ind w:firstLine="0" w:firstLineChars="0"/>
              <w:jc w:val="center"/>
              <w:rPr>
                <w:rFonts w:hint="eastAsia" w:ascii="宋体" w:hAnsi="宋体" w:eastAsia="宋体" w:cs="Times New Roman"/>
                <w:snapToGrid/>
                <w:color w:val="auto"/>
                <w:kern w:val="2"/>
                <w:sz w:val="24"/>
                <w:szCs w:val="28"/>
                <w:highlight w:val="none"/>
                <w:lang w:val="en-US" w:eastAsia="zh-CN" w:bidi="ar-SA"/>
              </w:rPr>
            </w:pPr>
            <w:r>
              <w:rPr>
                <w:rFonts w:hint="eastAsia" w:ascii="宋体" w:hAnsi="宋体" w:eastAsia="宋体" w:cs="Times New Roman"/>
                <w:snapToGrid/>
                <w:color w:val="auto"/>
                <w:kern w:val="2"/>
                <w:sz w:val="24"/>
                <w:szCs w:val="28"/>
                <w:highlight w:val="none"/>
                <w:lang w:val="en-US" w:eastAsia="zh-CN"/>
              </w:rPr>
              <w:t>起草人</w:t>
            </w:r>
            <w:r>
              <w:rPr>
                <w:rFonts w:hint="eastAsia" w:ascii="宋体" w:hAnsi="宋体" w:cs="Times New Roman"/>
                <w:snapToGrid/>
                <w:color w:val="auto"/>
                <w:kern w:val="2"/>
                <w:sz w:val="24"/>
                <w:szCs w:val="28"/>
                <w:highlight w:val="none"/>
                <w:lang w:val="en-US" w:eastAsia="zh-CN"/>
              </w:rPr>
              <w:t>，</w:t>
            </w:r>
            <w:r>
              <w:rPr>
                <w:rFonts w:hint="eastAsia" w:ascii="宋体" w:hAnsi="宋体" w:cs="Times New Roman"/>
                <w:snapToGrid/>
                <w:color w:val="000000" w:themeColor="text1"/>
                <w:kern w:val="2"/>
                <w:sz w:val="24"/>
                <w:szCs w:val="28"/>
                <w:highlight w:val="none"/>
                <w:lang w:val="en-US" w:eastAsia="zh-CN"/>
                <w14:textFill>
                  <w14:solidFill>
                    <w14:schemeClr w14:val="tx1"/>
                  </w14:solidFill>
                </w14:textFill>
              </w:rPr>
              <w:t>参与征求意见汇总处理，根据征求意见修改完善标准</w:t>
            </w:r>
          </w:p>
        </w:tc>
      </w:tr>
      <w:tr w14:paraId="1340E433">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jc w:val="center"/>
        </w:trPr>
        <w:tc>
          <w:tcPr>
            <w:tcW w:w="793" w:type="dxa"/>
            <w:tcBorders>
              <w:top w:val="single" w:color="auto" w:sz="6" w:space="0"/>
              <w:bottom w:val="single" w:color="auto" w:sz="6" w:space="0"/>
              <w:right w:val="single" w:color="auto" w:sz="6" w:space="0"/>
            </w:tcBorders>
            <w:noWrap w:val="0"/>
            <w:vAlign w:val="center"/>
          </w:tcPr>
          <w:p w14:paraId="52349455">
            <w:pPr>
              <w:numPr>
                <w:ilvl w:val="0"/>
                <w:numId w:val="4"/>
              </w:numPr>
              <w:autoSpaceDE/>
              <w:autoSpaceDN/>
              <w:snapToGrid/>
              <w:spacing w:line="240" w:lineRule="auto"/>
              <w:ind w:left="425" w:leftChars="0" w:hanging="425" w:firstLineChars="0"/>
              <w:jc w:val="center"/>
              <w:rPr>
                <w:rFonts w:hint="default" w:ascii="宋体" w:hAnsi="宋体" w:eastAsia="宋体" w:cs="Times New Roman"/>
                <w:snapToGrid/>
                <w:color w:val="auto"/>
                <w:kern w:val="2"/>
                <w:sz w:val="24"/>
                <w:szCs w:val="28"/>
                <w:highlight w:val="none"/>
                <w:lang w:val="en-US" w:eastAsia="zh-CN"/>
              </w:rPr>
            </w:pPr>
          </w:p>
        </w:tc>
        <w:tc>
          <w:tcPr>
            <w:tcW w:w="1100" w:type="dxa"/>
            <w:tcBorders>
              <w:top w:val="single" w:color="auto" w:sz="6" w:space="0"/>
              <w:left w:val="single" w:color="auto" w:sz="6" w:space="0"/>
              <w:bottom w:val="single" w:color="auto" w:sz="6" w:space="0"/>
              <w:right w:val="single" w:color="auto" w:sz="6" w:space="0"/>
            </w:tcBorders>
            <w:shd w:val="clear" w:color="auto" w:fill="auto"/>
            <w:noWrap w:val="0"/>
            <w:vAlign w:val="center"/>
          </w:tcPr>
          <w:p w14:paraId="2D615049">
            <w:pPr>
              <w:autoSpaceDE/>
              <w:autoSpaceDN/>
              <w:snapToGrid/>
              <w:spacing w:line="240" w:lineRule="auto"/>
              <w:ind w:firstLine="0" w:firstLineChars="0"/>
              <w:jc w:val="center"/>
              <w:rPr>
                <w:rFonts w:hint="eastAsia" w:ascii="宋体" w:hAnsi="宋体" w:eastAsia="宋体" w:cs="Times New Roman"/>
                <w:snapToGrid/>
                <w:color w:val="auto"/>
                <w:kern w:val="2"/>
                <w:sz w:val="24"/>
                <w:szCs w:val="28"/>
                <w:highlight w:val="none"/>
                <w:lang w:val="en-US" w:eastAsia="zh-CN" w:bidi="ar-SA"/>
              </w:rPr>
            </w:pPr>
            <w:r>
              <w:rPr>
                <w:rFonts w:hint="eastAsia" w:ascii="宋体" w:hAnsi="宋体" w:eastAsia="宋体" w:cs="Times New Roman"/>
                <w:snapToGrid/>
                <w:color w:val="auto"/>
                <w:kern w:val="2"/>
                <w:sz w:val="24"/>
                <w:szCs w:val="28"/>
                <w:highlight w:val="none"/>
                <w:lang w:val="en-US" w:eastAsia="zh-CN" w:bidi="ar-SA"/>
              </w:rPr>
              <w:t>袁  治</w:t>
            </w:r>
          </w:p>
        </w:tc>
        <w:tc>
          <w:tcPr>
            <w:tcW w:w="4150" w:type="dxa"/>
            <w:tcBorders>
              <w:top w:val="single" w:color="auto" w:sz="6" w:space="0"/>
              <w:left w:val="single" w:color="auto" w:sz="6" w:space="0"/>
              <w:bottom w:val="single" w:color="auto" w:sz="6" w:space="0"/>
              <w:right w:val="single" w:color="auto" w:sz="6" w:space="0"/>
            </w:tcBorders>
            <w:shd w:val="clear" w:color="auto" w:fill="auto"/>
            <w:noWrap w:val="0"/>
            <w:vAlign w:val="center"/>
          </w:tcPr>
          <w:p w14:paraId="37F032D3">
            <w:pPr>
              <w:keepNext w:val="0"/>
              <w:keepLines w:val="0"/>
              <w:widowControl/>
              <w:suppressLineNumbers w:val="0"/>
              <w:jc w:val="center"/>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江苏康乐年华企业管理咨询有限公司</w:t>
            </w:r>
          </w:p>
        </w:tc>
        <w:tc>
          <w:tcPr>
            <w:tcW w:w="2067" w:type="dxa"/>
            <w:tcBorders>
              <w:top w:val="single" w:color="auto" w:sz="6" w:space="0"/>
              <w:left w:val="single" w:color="auto" w:sz="6" w:space="0"/>
              <w:bottom w:val="single" w:color="auto" w:sz="6" w:space="0"/>
              <w:right w:val="single" w:color="auto" w:sz="6" w:space="0"/>
            </w:tcBorders>
            <w:noWrap w:val="0"/>
            <w:vAlign w:val="center"/>
          </w:tcPr>
          <w:p w14:paraId="27496B04">
            <w:pPr>
              <w:autoSpaceDE/>
              <w:autoSpaceDN/>
              <w:snapToGrid/>
              <w:spacing w:line="240" w:lineRule="auto"/>
              <w:ind w:firstLine="0" w:firstLineChars="0"/>
              <w:jc w:val="center"/>
              <w:rPr>
                <w:rFonts w:hint="eastAsia" w:ascii="宋体" w:hAnsi="宋体" w:eastAsia="宋体" w:cs="Times New Roman"/>
                <w:snapToGrid/>
                <w:color w:val="auto"/>
                <w:kern w:val="2"/>
                <w:sz w:val="24"/>
                <w:szCs w:val="28"/>
                <w:highlight w:val="none"/>
                <w:lang w:val="en-US" w:eastAsia="zh-CN" w:bidi="ar-SA"/>
              </w:rPr>
            </w:pPr>
            <w:r>
              <w:rPr>
                <w:rFonts w:hint="eastAsia" w:ascii="宋体" w:hAnsi="宋体" w:eastAsia="宋体" w:cs="Times New Roman"/>
                <w:snapToGrid/>
                <w:color w:val="auto"/>
                <w:kern w:val="2"/>
                <w:sz w:val="24"/>
                <w:szCs w:val="28"/>
                <w:highlight w:val="none"/>
                <w:lang w:val="en-US" w:eastAsia="zh-CN"/>
              </w:rPr>
              <w:t>起草人</w:t>
            </w:r>
            <w:r>
              <w:rPr>
                <w:rFonts w:hint="eastAsia" w:ascii="宋体" w:hAnsi="宋体" w:cs="Times New Roman"/>
                <w:snapToGrid/>
                <w:color w:val="auto"/>
                <w:kern w:val="2"/>
                <w:sz w:val="24"/>
                <w:szCs w:val="28"/>
                <w:highlight w:val="none"/>
                <w:lang w:val="en-US" w:eastAsia="zh-CN"/>
              </w:rPr>
              <w:t>，</w:t>
            </w:r>
            <w:r>
              <w:rPr>
                <w:rFonts w:hint="eastAsia" w:ascii="宋体" w:hAnsi="宋体" w:cs="Times New Roman"/>
                <w:snapToGrid/>
                <w:color w:val="000000" w:themeColor="text1"/>
                <w:kern w:val="2"/>
                <w:sz w:val="24"/>
                <w:szCs w:val="28"/>
                <w:highlight w:val="none"/>
                <w:lang w:val="en-US" w:eastAsia="zh-CN"/>
                <w14:textFill>
                  <w14:solidFill>
                    <w14:schemeClr w14:val="tx1"/>
                  </w14:solidFill>
                </w14:textFill>
              </w:rPr>
              <w:t>参与征求意见汇总处理，根据征求意见修改完善标准</w:t>
            </w:r>
          </w:p>
        </w:tc>
      </w:tr>
      <w:tr w14:paraId="10DD5CF4">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jc w:val="center"/>
        </w:trPr>
        <w:tc>
          <w:tcPr>
            <w:tcW w:w="793" w:type="dxa"/>
            <w:tcBorders>
              <w:top w:val="single" w:color="auto" w:sz="6" w:space="0"/>
              <w:bottom w:val="single" w:color="auto" w:sz="6" w:space="0"/>
              <w:right w:val="single" w:color="auto" w:sz="6" w:space="0"/>
            </w:tcBorders>
            <w:noWrap w:val="0"/>
            <w:vAlign w:val="center"/>
          </w:tcPr>
          <w:p w14:paraId="328A1C74">
            <w:pPr>
              <w:numPr>
                <w:ilvl w:val="0"/>
                <w:numId w:val="4"/>
              </w:numPr>
              <w:autoSpaceDE/>
              <w:autoSpaceDN/>
              <w:snapToGrid/>
              <w:spacing w:line="240" w:lineRule="auto"/>
              <w:ind w:left="425" w:leftChars="0" w:hanging="425" w:firstLineChars="0"/>
              <w:jc w:val="center"/>
              <w:rPr>
                <w:rFonts w:hint="default" w:ascii="宋体" w:hAnsi="宋体" w:eastAsia="宋体" w:cs="Times New Roman"/>
                <w:snapToGrid/>
                <w:color w:val="auto"/>
                <w:kern w:val="2"/>
                <w:sz w:val="24"/>
                <w:szCs w:val="28"/>
                <w:highlight w:val="none"/>
                <w:lang w:val="en-US" w:eastAsia="zh-CN"/>
              </w:rPr>
            </w:pPr>
          </w:p>
        </w:tc>
        <w:tc>
          <w:tcPr>
            <w:tcW w:w="1100" w:type="dxa"/>
            <w:tcBorders>
              <w:top w:val="single" w:color="auto" w:sz="6" w:space="0"/>
              <w:left w:val="single" w:color="auto" w:sz="6" w:space="0"/>
              <w:bottom w:val="single" w:color="auto" w:sz="6" w:space="0"/>
              <w:right w:val="single" w:color="auto" w:sz="6" w:space="0"/>
            </w:tcBorders>
            <w:noWrap w:val="0"/>
            <w:vAlign w:val="center"/>
          </w:tcPr>
          <w:p w14:paraId="64835EE3">
            <w:pPr>
              <w:autoSpaceDE/>
              <w:autoSpaceDN/>
              <w:snapToGrid/>
              <w:spacing w:line="240" w:lineRule="auto"/>
              <w:ind w:firstLine="0" w:firstLineChars="0"/>
              <w:jc w:val="center"/>
              <w:rPr>
                <w:rFonts w:hint="eastAsia" w:ascii="宋体" w:hAnsi="宋体" w:eastAsia="宋体" w:cs="Times New Roman"/>
                <w:snapToGrid/>
                <w:color w:val="auto"/>
                <w:kern w:val="2"/>
                <w:sz w:val="24"/>
                <w:szCs w:val="28"/>
                <w:highlight w:val="none"/>
                <w:lang w:val="en-US" w:eastAsia="zh-CN" w:bidi="ar-SA"/>
              </w:rPr>
            </w:pPr>
            <w:r>
              <w:rPr>
                <w:rFonts w:hint="eastAsia" w:ascii="宋体" w:hAnsi="宋体" w:eastAsia="宋体" w:cs="Times New Roman"/>
                <w:snapToGrid/>
                <w:color w:val="auto"/>
                <w:kern w:val="2"/>
                <w:sz w:val="24"/>
                <w:szCs w:val="28"/>
                <w:highlight w:val="none"/>
                <w:lang w:val="en-US" w:eastAsia="zh-CN" w:bidi="ar-SA"/>
              </w:rPr>
              <w:t>吴玉霞</w:t>
            </w:r>
          </w:p>
        </w:tc>
        <w:tc>
          <w:tcPr>
            <w:tcW w:w="4150" w:type="dxa"/>
            <w:tcBorders>
              <w:top w:val="single" w:color="auto" w:sz="6" w:space="0"/>
              <w:left w:val="single" w:color="auto" w:sz="6" w:space="0"/>
              <w:bottom w:val="single" w:color="auto" w:sz="6" w:space="0"/>
              <w:right w:val="single" w:color="auto" w:sz="6" w:space="0"/>
            </w:tcBorders>
            <w:noWrap w:val="0"/>
            <w:vAlign w:val="center"/>
          </w:tcPr>
          <w:p w14:paraId="2FE2E501">
            <w:pPr>
              <w:autoSpaceDE/>
              <w:autoSpaceDN/>
              <w:snapToGrid/>
              <w:spacing w:line="240" w:lineRule="auto"/>
              <w:ind w:firstLine="0" w:firstLineChars="0"/>
              <w:jc w:val="center"/>
              <w:rPr>
                <w:rFonts w:hint="eastAsia" w:ascii="宋体" w:hAnsi="宋体" w:eastAsia="宋体" w:cs="Times New Roman"/>
                <w:snapToGrid/>
                <w:color w:val="auto"/>
                <w:kern w:val="2"/>
                <w:sz w:val="24"/>
                <w:szCs w:val="28"/>
                <w:highlight w:val="none"/>
                <w:lang w:val="en-US" w:eastAsia="zh-CN"/>
              </w:rPr>
            </w:pPr>
            <w:r>
              <w:rPr>
                <w:rFonts w:hint="eastAsia" w:ascii="宋体" w:hAnsi="宋体" w:eastAsia="宋体" w:cs="Times New Roman"/>
                <w:snapToGrid/>
                <w:color w:val="auto"/>
                <w:kern w:val="2"/>
                <w:sz w:val="24"/>
                <w:szCs w:val="28"/>
                <w:highlight w:val="none"/>
                <w:lang w:val="en-US" w:eastAsia="zh-CN"/>
              </w:rPr>
              <w:t>苏州市健康养老产业发展集团有限公司</w:t>
            </w:r>
          </w:p>
        </w:tc>
        <w:tc>
          <w:tcPr>
            <w:tcW w:w="2067" w:type="dxa"/>
            <w:tcBorders>
              <w:top w:val="single" w:color="auto" w:sz="6" w:space="0"/>
              <w:left w:val="single" w:color="auto" w:sz="6" w:space="0"/>
              <w:bottom w:val="single" w:color="auto" w:sz="6" w:space="0"/>
              <w:right w:val="single" w:color="auto" w:sz="6" w:space="0"/>
            </w:tcBorders>
            <w:noWrap w:val="0"/>
            <w:vAlign w:val="center"/>
          </w:tcPr>
          <w:p w14:paraId="63F35F5F">
            <w:pPr>
              <w:autoSpaceDE/>
              <w:autoSpaceDN/>
              <w:snapToGrid/>
              <w:spacing w:line="240" w:lineRule="auto"/>
              <w:ind w:firstLine="0" w:firstLineChars="0"/>
              <w:jc w:val="center"/>
              <w:rPr>
                <w:rFonts w:hint="eastAsia" w:ascii="宋体" w:hAnsi="宋体" w:eastAsia="宋体" w:cs="Times New Roman"/>
                <w:snapToGrid/>
                <w:color w:val="auto"/>
                <w:kern w:val="2"/>
                <w:sz w:val="24"/>
                <w:szCs w:val="28"/>
                <w:highlight w:val="none"/>
                <w:lang w:val="en-US" w:eastAsia="zh-CN"/>
              </w:rPr>
            </w:pPr>
            <w:r>
              <w:rPr>
                <w:rFonts w:hint="eastAsia" w:ascii="宋体" w:hAnsi="宋体" w:eastAsia="宋体" w:cs="Times New Roman"/>
                <w:snapToGrid/>
                <w:color w:val="auto"/>
                <w:kern w:val="2"/>
                <w:sz w:val="24"/>
                <w:szCs w:val="28"/>
                <w:highlight w:val="none"/>
                <w:lang w:val="en-US" w:eastAsia="zh-CN"/>
              </w:rPr>
              <w:t>起草人</w:t>
            </w:r>
            <w:r>
              <w:rPr>
                <w:rFonts w:hint="eastAsia" w:ascii="宋体" w:hAnsi="宋体" w:cs="Times New Roman"/>
                <w:snapToGrid/>
                <w:color w:val="auto"/>
                <w:kern w:val="2"/>
                <w:sz w:val="24"/>
                <w:szCs w:val="28"/>
                <w:highlight w:val="none"/>
                <w:lang w:val="en-US" w:eastAsia="zh-CN"/>
              </w:rPr>
              <w:t>，</w:t>
            </w:r>
            <w:r>
              <w:rPr>
                <w:rFonts w:hint="eastAsia" w:ascii="宋体" w:hAnsi="宋体" w:cs="Times New Roman"/>
                <w:snapToGrid/>
                <w:color w:val="000000" w:themeColor="text1"/>
                <w:kern w:val="2"/>
                <w:sz w:val="24"/>
                <w:szCs w:val="28"/>
                <w:highlight w:val="none"/>
                <w:lang w:val="en-US" w:eastAsia="zh-CN"/>
                <w14:textFill>
                  <w14:solidFill>
                    <w14:schemeClr w14:val="tx1"/>
                  </w14:solidFill>
                </w14:textFill>
              </w:rPr>
              <w:t>参与征求意见汇总处理，根据征求意见修改完善标准</w:t>
            </w:r>
          </w:p>
        </w:tc>
      </w:tr>
      <w:tr w14:paraId="03AF0171">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jc w:val="center"/>
        </w:trPr>
        <w:tc>
          <w:tcPr>
            <w:tcW w:w="793" w:type="dxa"/>
            <w:tcBorders>
              <w:top w:val="single" w:color="auto" w:sz="6" w:space="0"/>
              <w:bottom w:val="single" w:color="auto" w:sz="6" w:space="0"/>
              <w:right w:val="single" w:color="auto" w:sz="6" w:space="0"/>
            </w:tcBorders>
            <w:noWrap w:val="0"/>
            <w:vAlign w:val="center"/>
          </w:tcPr>
          <w:p w14:paraId="51A5B6BD">
            <w:pPr>
              <w:numPr>
                <w:ilvl w:val="0"/>
                <w:numId w:val="4"/>
              </w:numPr>
              <w:autoSpaceDE/>
              <w:autoSpaceDN/>
              <w:snapToGrid/>
              <w:spacing w:line="240" w:lineRule="auto"/>
              <w:ind w:left="425" w:leftChars="0" w:hanging="425" w:firstLineChars="0"/>
              <w:jc w:val="center"/>
              <w:rPr>
                <w:rFonts w:hint="default" w:ascii="宋体" w:hAnsi="宋体" w:eastAsia="宋体" w:cs="Times New Roman"/>
                <w:snapToGrid/>
                <w:color w:val="auto"/>
                <w:kern w:val="2"/>
                <w:sz w:val="24"/>
                <w:szCs w:val="28"/>
                <w:highlight w:val="none"/>
                <w:lang w:val="en-US" w:eastAsia="zh-CN"/>
              </w:rPr>
            </w:pPr>
          </w:p>
        </w:tc>
        <w:tc>
          <w:tcPr>
            <w:tcW w:w="1100" w:type="dxa"/>
            <w:tcBorders>
              <w:top w:val="single" w:color="auto" w:sz="6" w:space="0"/>
              <w:left w:val="single" w:color="auto" w:sz="6" w:space="0"/>
              <w:bottom w:val="single" w:color="auto" w:sz="6" w:space="0"/>
              <w:right w:val="single" w:color="auto" w:sz="6" w:space="0"/>
            </w:tcBorders>
            <w:noWrap w:val="0"/>
            <w:vAlign w:val="center"/>
          </w:tcPr>
          <w:p w14:paraId="1BBBC1E1">
            <w:pPr>
              <w:autoSpaceDE/>
              <w:autoSpaceDN/>
              <w:snapToGrid/>
              <w:spacing w:line="240" w:lineRule="auto"/>
              <w:ind w:firstLine="0" w:firstLineChars="0"/>
              <w:jc w:val="center"/>
              <w:rPr>
                <w:rFonts w:hint="eastAsia" w:ascii="宋体" w:hAnsi="宋体" w:eastAsia="宋体" w:cs="Times New Roman"/>
                <w:snapToGrid/>
                <w:color w:val="auto"/>
                <w:kern w:val="2"/>
                <w:sz w:val="24"/>
                <w:szCs w:val="28"/>
                <w:highlight w:val="none"/>
                <w:lang w:val="en-US" w:eastAsia="zh-CN" w:bidi="ar-SA"/>
              </w:rPr>
            </w:pPr>
            <w:r>
              <w:rPr>
                <w:rFonts w:hint="eastAsia" w:ascii="宋体" w:hAnsi="宋体" w:eastAsia="宋体" w:cs="Times New Roman"/>
                <w:snapToGrid/>
                <w:color w:val="auto"/>
                <w:kern w:val="2"/>
                <w:sz w:val="24"/>
                <w:szCs w:val="28"/>
                <w:highlight w:val="none"/>
                <w:lang w:val="en-US" w:eastAsia="zh-CN" w:bidi="ar-SA"/>
              </w:rPr>
              <w:t>孟庆娟</w:t>
            </w:r>
          </w:p>
        </w:tc>
        <w:tc>
          <w:tcPr>
            <w:tcW w:w="4150" w:type="dxa"/>
            <w:tcBorders>
              <w:top w:val="single" w:color="auto" w:sz="6" w:space="0"/>
              <w:left w:val="single" w:color="auto" w:sz="6" w:space="0"/>
              <w:bottom w:val="single" w:color="auto" w:sz="6" w:space="0"/>
              <w:right w:val="single" w:color="auto" w:sz="6" w:space="0"/>
            </w:tcBorders>
            <w:noWrap w:val="0"/>
            <w:vAlign w:val="center"/>
          </w:tcPr>
          <w:p w14:paraId="18380643">
            <w:pPr>
              <w:keepNext w:val="0"/>
              <w:keepLines w:val="0"/>
              <w:widowControl/>
              <w:suppressLineNumbers w:val="0"/>
              <w:jc w:val="center"/>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湖南翊养咨询管理有限公司</w:t>
            </w:r>
          </w:p>
        </w:tc>
        <w:tc>
          <w:tcPr>
            <w:tcW w:w="2067" w:type="dxa"/>
            <w:tcBorders>
              <w:top w:val="single" w:color="auto" w:sz="6" w:space="0"/>
              <w:left w:val="single" w:color="auto" w:sz="6" w:space="0"/>
              <w:bottom w:val="single" w:color="auto" w:sz="6" w:space="0"/>
              <w:right w:val="single" w:color="auto" w:sz="6" w:space="0"/>
            </w:tcBorders>
            <w:noWrap w:val="0"/>
            <w:vAlign w:val="center"/>
          </w:tcPr>
          <w:p w14:paraId="593304B3">
            <w:pPr>
              <w:autoSpaceDE/>
              <w:autoSpaceDN/>
              <w:snapToGrid/>
              <w:spacing w:line="240" w:lineRule="auto"/>
              <w:ind w:firstLine="0"/>
              <w:jc w:val="center"/>
              <w:rPr>
                <w:rFonts w:hint="eastAsia" w:ascii="宋体" w:hAnsi="宋体" w:eastAsia="宋体" w:cs="Times New Roman"/>
                <w:snapToGrid/>
                <w:color w:val="auto"/>
                <w:kern w:val="2"/>
                <w:sz w:val="24"/>
                <w:szCs w:val="28"/>
                <w:highlight w:val="none"/>
                <w:lang w:val="en-US" w:eastAsia="zh-CN"/>
              </w:rPr>
            </w:pPr>
            <w:r>
              <w:rPr>
                <w:rFonts w:hint="eastAsia" w:ascii="宋体" w:hAnsi="宋体" w:eastAsia="宋体" w:cs="Times New Roman"/>
                <w:snapToGrid/>
                <w:color w:val="auto"/>
                <w:kern w:val="2"/>
                <w:sz w:val="24"/>
                <w:szCs w:val="28"/>
                <w:highlight w:val="none"/>
                <w:lang w:val="en-US" w:eastAsia="zh-CN"/>
              </w:rPr>
              <w:t>起草人</w:t>
            </w:r>
            <w:r>
              <w:rPr>
                <w:rFonts w:hint="eastAsia" w:ascii="宋体" w:hAnsi="宋体" w:cs="Times New Roman"/>
                <w:snapToGrid/>
                <w:color w:val="auto"/>
                <w:kern w:val="2"/>
                <w:sz w:val="24"/>
                <w:szCs w:val="28"/>
                <w:highlight w:val="none"/>
                <w:lang w:val="en-US" w:eastAsia="zh-CN"/>
              </w:rPr>
              <w:t>，</w:t>
            </w:r>
            <w:r>
              <w:rPr>
                <w:rFonts w:hint="eastAsia" w:ascii="宋体" w:hAnsi="宋体" w:cs="Times New Roman"/>
                <w:snapToGrid/>
                <w:color w:val="000000" w:themeColor="text1"/>
                <w:kern w:val="2"/>
                <w:sz w:val="24"/>
                <w:szCs w:val="28"/>
                <w:highlight w:val="none"/>
                <w:lang w:val="en-US" w:eastAsia="zh-CN"/>
                <w14:textFill>
                  <w14:solidFill>
                    <w14:schemeClr w14:val="tx1"/>
                  </w14:solidFill>
                </w14:textFill>
              </w:rPr>
              <w:t>参与征求意见汇总处理，根据征求意见修改完善标准</w:t>
            </w:r>
          </w:p>
        </w:tc>
      </w:tr>
      <w:tr w14:paraId="69FC2358">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jc w:val="center"/>
        </w:trPr>
        <w:tc>
          <w:tcPr>
            <w:tcW w:w="793" w:type="dxa"/>
            <w:tcBorders>
              <w:top w:val="single" w:color="auto" w:sz="6" w:space="0"/>
              <w:bottom w:val="single" w:color="auto" w:sz="6" w:space="0"/>
              <w:right w:val="single" w:color="auto" w:sz="6" w:space="0"/>
            </w:tcBorders>
            <w:noWrap w:val="0"/>
            <w:vAlign w:val="center"/>
          </w:tcPr>
          <w:p w14:paraId="59CB9D06">
            <w:pPr>
              <w:numPr>
                <w:ilvl w:val="0"/>
                <w:numId w:val="4"/>
              </w:numPr>
              <w:autoSpaceDE/>
              <w:autoSpaceDN/>
              <w:snapToGrid/>
              <w:spacing w:line="240" w:lineRule="auto"/>
              <w:ind w:left="425" w:leftChars="0" w:hanging="425" w:firstLineChars="0"/>
              <w:jc w:val="center"/>
              <w:rPr>
                <w:rFonts w:hint="default" w:ascii="宋体" w:hAnsi="宋体" w:eastAsia="宋体" w:cs="Times New Roman"/>
                <w:snapToGrid/>
                <w:color w:val="auto"/>
                <w:kern w:val="2"/>
                <w:sz w:val="24"/>
                <w:szCs w:val="28"/>
                <w:highlight w:val="none"/>
                <w:lang w:val="en-US" w:eastAsia="zh-CN"/>
              </w:rPr>
            </w:pPr>
          </w:p>
        </w:tc>
        <w:tc>
          <w:tcPr>
            <w:tcW w:w="1100" w:type="dxa"/>
            <w:tcBorders>
              <w:top w:val="single" w:color="auto" w:sz="6" w:space="0"/>
              <w:left w:val="single" w:color="auto" w:sz="6" w:space="0"/>
              <w:bottom w:val="single" w:color="auto" w:sz="6" w:space="0"/>
              <w:right w:val="single" w:color="auto" w:sz="6" w:space="0"/>
            </w:tcBorders>
            <w:noWrap w:val="0"/>
            <w:vAlign w:val="center"/>
          </w:tcPr>
          <w:p w14:paraId="45ADB4E1">
            <w:pPr>
              <w:autoSpaceDE/>
              <w:autoSpaceDN/>
              <w:snapToGrid/>
              <w:spacing w:line="240" w:lineRule="auto"/>
              <w:ind w:firstLine="0" w:firstLineChars="0"/>
              <w:jc w:val="center"/>
              <w:rPr>
                <w:rFonts w:hint="eastAsia" w:ascii="宋体" w:hAnsi="宋体" w:eastAsia="宋体" w:cs="Times New Roman"/>
                <w:snapToGrid/>
                <w:color w:val="auto"/>
                <w:kern w:val="2"/>
                <w:sz w:val="24"/>
                <w:szCs w:val="28"/>
                <w:highlight w:val="none"/>
                <w:lang w:val="en-US" w:eastAsia="zh-CN" w:bidi="ar-SA"/>
              </w:rPr>
            </w:pPr>
            <w:r>
              <w:rPr>
                <w:rFonts w:hint="eastAsia" w:ascii="宋体" w:hAnsi="宋体" w:eastAsia="宋体" w:cs="Times New Roman"/>
                <w:snapToGrid/>
                <w:color w:val="auto"/>
                <w:kern w:val="2"/>
                <w:sz w:val="24"/>
                <w:szCs w:val="28"/>
                <w:highlight w:val="none"/>
                <w:lang w:val="en-US" w:eastAsia="zh-CN" w:bidi="ar-SA"/>
              </w:rPr>
              <w:t>彭晨凌</w:t>
            </w:r>
          </w:p>
        </w:tc>
        <w:tc>
          <w:tcPr>
            <w:tcW w:w="4150" w:type="dxa"/>
            <w:tcBorders>
              <w:top w:val="single" w:color="auto" w:sz="6" w:space="0"/>
              <w:left w:val="single" w:color="auto" w:sz="6" w:space="0"/>
              <w:bottom w:val="single" w:color="auto" w:sz="6" w:space="0"/>
              <w:right w:val="single" w:color="auto" w:sz="6" w:space="0"/>
            </w:tcBorders>
            <w:noWrap w:val="0"/>
            <w:vAlign w:val="center"/>
          </w:tcPr>
          <w:p w14:paraId="519F6680">
            <w:pPr>
              <w:keepNext w:val="0"/>
              <w:keepLines w:val="0"/>
              <w:widowControl/>
              <w:suppressLineNumbers w:val="0"/>
              <w:jc w:val="center"/>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湖南康乐年华养老产业集团有限公司</w:t>
            </w:r>
          </w:p>
        </w:tc>
        <w:tc>
          <w:tcPr>
            <w:tcW w:w="2067" w:type="dxa"/>
            <w:tcBorders>
              <w:top w:val="single" w:color="auto" w:sz="6" w:space="0"/>
              <w:left w:val="single" w:color="auto" w:sz="6" w:space="0"/>
              <w:bottom w:val="single" w:color="auto" w:sz="6" w:space="0"/>
              <w:right w:val="single" w:color="auto" w:sz="6" w:space="0"/>
            </w:tcBorders>
            <w:noWrap w:val="0"/>
            <w:vAlign w:val="center"/>
          </w:tcPr>
          <w:p w14:paraId="160635C1">
            <w:pPr>
              <w:autoSpaceDE/>
              <w:autoSpaceDN/>
              <w:snapToGrid/>
              <w:spacing w:line="240" w:lineRule="auto"/>
              <w:ind w:firstLine="0"/>
              <w:jc w:val="center"/>
              <w:rPr>
                <w:rFonts w:hint="eastAsia" w:ascii="宋体" w:hAnsi="宋体" w:eastAsia="宋体" w:cs="Times New Roman"/>
                <w:snapToGrid/>
                <w:color w:val="auto"/>
                <w:kern w:val="2"/>
                <w:sz w:val="24"/>
                <w:szCs w:val="28"/>
                <w:highlight w:val="none"/>
                <w:lang w:val="en-US" w:eastAsia="zh-CN"/>
              </w:rPr>
            </w:pPr>
            <w:r>
              <w:rPr>
                <w:rFonts w:hint="eastAsia" w:ascii="宋体" w:hAnsi="宋体" w:eastAsia="宋体" w:cs="Times New Roman"/>
                <w:snapToGrid/>
                <w:color w:val="auto"/>
                <w:kern w:val="2"/>
                <w:sz w:val="24"/>
                <w:szCs w:val="28"/>
                <w:highlight w:val="none"/>
                <w:lang w:val="en-US" w:eastAsia="zh-CN"/>
              </w:rPr>
              <w:t>起草人</w:t>
            </w:r>
            <w:r>
              <w:rPr>
                <w:rFonts w:hint="eastAsia" w:ascii="宋体" w:hAnsi="宋体" w:cs="Times New Roman"/>
                <w:snapToGrid/>
                <w:color w:val="auto"/>
                <w:kern w:val="2"/>
                <w:sz w:val="24"/>
                <w:szCs w:val="28"/>
                <w:highlight w:val="none"/>
                <w:lang w:val="en-US" w:eastAsia="zh-CN"/>
              </w:rPr>
              <w:t>，</w:t>
            </w:r>
            <w:r>
              <w:rPr>
                <w:rFonts w:hint="eastAsia" w:ascii="宋体" w:hAnsi="宋体" w:cs="Times New Roman"/>
                <w:snapToGrid/>
                <w:color w:val="000000" w:themeColor="text1"/>
                <w:kern w:val="2"/>
                <w:sz w:val="24"/>
                <w:szCs w:val="28"/>
                <w:highlight w:val="none"/>
                <w:lang w:val="en-US" w:eastAsia="zh-CN"/>
                <w14:textFill>
                  <w14:solidFill>
                    <w14:schemeClr w14:val="tx1"/>
                  </w14:solidFill>
                </w14:textFill>
              </w:rPr>
              <w:t>参与征求意见汇总处理，根据征求意见修改完善标准</w:t>
            </w:r>
          </w:p>
        </w:tc>
      </w:tr>
      <w:tr w14:paraId="20CE3298">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jc w:val="center"/>
        </w:trPr>
        <w:tc>
          <w:tcPr>
            <w:tcW w:w="793" w:type="dxa"/>
            <w:tcBorders>
              <w:top w:val="single" w:color="auto" w:sz="6" w:space="0"/>
              <w:bottom w:val="single" w:color="auto" w:sz="6" w:space="0"/>
              <w:right w:val="single" w:color="auto" w:sz="6" w:space="0"/>
            </w:tcBorders>
            <w:noWrap w:val="0"/>
            <w:vAlign w:val="center"/>
          </w:tcPr>
          <w:p w14:paraId="768426D8">
            <w:pPr>
              <w:numPr>
                <w:ilvl w:val="0"/>
                <w:numId w:val="4"/>
              </w:numPr>
              <w:autoSpaceDE/>
              <w:autoSpaceDN/>
              <w:snapToGrid/>
              <w:spacing w:line="240" w:lineRule="auto"/>
              <w:ind w:left="425" w:leftChars="0" w:hanging="425" w:firstLineChars="0"/>
              <w:jc w:val="center"/>
              <w:rPr>
                <w:rFonts w:hint="default" w:ascii="宋体" w:hAnsi="宋体" w:eastAsia="宋体" w:cs="Times New Roman"/>
                <w:snapToGrid/>
                <w:color w:val="auto"/>
                <w:kern w:val="2"/>
                <w:sz w:val="24"/>
                <w:szCs w:val="28"/>
                <w:highlight w:val="none"/>
                <w:lang w:val="en-US" w:eastAsia="zh-CN"/>
              </w:rPr>
            </w:pPr>
          </w:p>
        </w:tc>
        <w:tc>
          <w:tcPr>
            <w:tcW w:w="1100" w:type="dxa"/>
            <w:tcBorders>
              <w:top w:val="single" w:color="auto" w:sz="6" w:space="0"/>
              <w:left w:val="single" w:color="auto" w:sz="6" w:space="0"/>
              <w:bottom w:val="single" w:color="auto" w:sz="6" w:space="0"/>
              <w:right w:val="single" w:color="auto" w:sz="6" w:space="0"/>
            </w:tcBorders>
            <w:noWrap w:val="0"/>
            <w:vAlign w:val="center"/>
          </w:tcPr>
          <w:p w14:paraId="65997E61">
            <w:pPr>
              <w:autoSpaceDE/>
              <w:autoSpaceDN/>
              <w:snapToGrid/>
              <w:spacing w:line="240" w:lineRule="auto"/>
              <w:ind w:firstLine="0" w:firstLineChars="0"/>
              <w:jc w:val="center"/>
              <w:rPr>
                <w:rFonts w:hint="eastAsia" w:ascii="宋体" w:hAnsi="宋体" w:eastAsia="宋体" w:cs="Times New Roman"/>
                <w:snapToGrid/>
                <w:color w:val="auto"/>
                <w:kern w:val="2"/>
                <w:sz w:val="24"/>
                <w:szCs w:val="28"/>
                <w:highlight w:val="none"/>
                <w:lang w:val="en-US" w:eastAsia="zh-CN" w:bidi="ar-SA"/>
              </w:rPr>
            </w:pPr>
            <w:r>
              <w:rPr>
                <w:rFonts w:hint="eastAsia" w:ascii="宋体" w:hAnsi="宋体" w:eastAsia="宋体" w:cs="Times New Roman"/>
                <w:snapToGrid/>
                <w:color w:val="auto"/>
                <w:kern w:val="2"/>
                <w:sz w:val="24"/>
                <w:szCs w:val="28"/>
                <w:highlight w:val="none"/>
                <w:lang w:val="en-US" w:eastAsia="zh-CN" w:bidi="ar-SA"/>
              </w:rPr>
              <w:t>张秀芳</w:t>
            </w:r>
          </w:p>
        </w:tc>
        <w:tc>
          <w:tcPr>
            <w:tcW w:w="4150" w:type="dxa"/>
            <w:tcBorders>
              <w:top w:val="single" w:color="auto" w:sz="6" w:space="0"/>
              <w:left w:val="single" w:color="auto" w:sz="6" w:space="0"/>
              <w:bottom w:val="single" w:color="auto" w:sz="6" w:space="0"/>
              <w:right w:val="single" w:color="auto" w:sz="6" w:space="0"/>
            </w:tcBorders>
            <w:noWrap w:val="0"/>
            <w:vAlign w:val="center"/>
          </w:tcPr>
          <w:p w14:paraId="1A94DD24">
            <w:pPr>
              <w:keepNext w:val="0"/>
              <w:keepLines w:val="0"/>
              <w:widowControl/>
              <w:suppressLineNumbers w:val="0"/>
              <w:jc w:val="center"/>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无锡市新吴区江溪夕阳休养中心</w:t>
            </w:r>
          </w:p>
        </w:tc>
        <w:tc>
          <w:tcPr>
            <w:tcW w:w="2067" w:type="dxa"/>
            <w:tcBorders>
              <w:top w:val="single" w:color="auto" w:sz="6" w:space="0"/>
              <w:left w:val="single" w:color="auto" w:sz="6" w:space="0"/>
              <w:bottom w:val="single" w:color="auto" w:sz="6" w:space="0"/>
              <w:right w:val="single" w:color="auto" w:sz="6" w:space="0"/>
            </w:tcBorders>
            <w:noWrap w:val="0"/>
            <w:vAlign w:val="center"/>
          </w:tcPr>
          <w:p w14:paraId="57193011">
            <w:pPr>
              <w:autoSpaceDE/>
              <w:autoSpaceDN/>
              <w:snapToGrid/>
              <w:spacing w:line="240" w:lineRule="auto"/>
              <w:ind w:firstLine="0" w:firstLineChars="0"/>
              <w:jc w:val="center"/>
              <w:rPr>
                <w:rFonts w:hint="eastAsia" w:ascii="宋体" w:hAnsi="宋体" w:eastAsia="宋体" w:cs="Times New Roman"/>
                <w:snapToGrid/>
                <w:color w:val="auto"/>
                <w:kern w:val="2"/>
                <w:sz w:val="24"/>
                <w:szCs w:val="28"/>
                <w:highlight w:val="none"/>
                <w:lang w:val="en-US" w:eastAsia="zh-CN" w:bidi="ar-SA"/>
              </w:rPr>
            </w:pPr>
            <w:r>
              <w:rPr>
                <w:rFonts w:hint="eastAsia" w:ascii="宋体" w:hAnsi="宋体" w:eastAsia="宋体" w:cs="Times New Roman"/>
                <w:snapToGrid/>
                <w:color w:val="auto"/>
                <w:kern w:val="2"/>
                <w:sz w:val="24"/>
                <w:szCs w:val="28"/>
                <w:highlight w:val="none"/>
                <w:lang w:val="en-US" w:eastAsia="zh-CN"/>
              </w:rPr>
              <w:t>参与调研和研讨</w:t>
            </w:r>
          </w:p>
        </w:tc>
      </w:tr>
      <w:tr w14:paraId="45FED5D2">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jc w:val="center"/>
        </w:trPr>
        <w:tc>
          <w:tcPr>
            <w:tcW w:w="793" w:type="dxa"/>
            <w:tcBorders>
              <w:top w:val="single" w:color="auto" w:sz="6" w:space="0"/>
              <w:bottom w:val="single" w:color="auto" w:sz="6" w:space="0"/>
              <w:right w:val="single" w:color="auto" w:sz="6" w:space="0"/>
            </w:tcBorders>
            <w:noWrap w:val="0"/>
            <w:vAlign w:val="center"/>
          </w:tcPr>
          <w:p w14:paraId="59D5507F">
            <w:pPr>
              <w:numPr>
                <w:ilvl w:val="0"/>
                <w:numId w:val="4"/>
              </w:numPr>
              <w:autoSpaceDE/>
              <w:autoSpaceDN/>
              <w:snapToGrid/>
              <w:spacing w:line="240" w:lineRule="auto"/>
              <w:ind w:left="425" w:leftChars="0" w:hanging="425" w:firstLineChars="0"/>
              <w:jc w:val="center"/>
              <w:rPr>
                <w:rFonts w:hint="default" w:ascii="宋体" w:hAnsi="宋体" w:eastAsia="宋体" w:cs="Times New Roman"/>
                <w:snapToGrid/>
                <w:color w:val="auto"/>
                <w:kern w:val="2"/>
                <w:sz w:val="24"/>
                <w:szCs w:val="28"/>
                <w:highlight w:val="none"/>
                <w:lang w:val="en-US" w:eastAsia="zh-CN"/>
              </w:rPr>
            </w:pPr>
          </w:p>
        </w:tc>
        <w:tc>
          <w:tcPr>
            <w:tcW w:w="1100" w:type="dxa"/>
            <w:tcBorders>
              <w:top w:val="single" w:color="auto" w:sz="6" w:space="0"/>
              <w:left w:val="single" w:color="auto" w:sz="6" w:space="0"/>
              <w:bottom w:val="single" w:color="auto" w:sz="6" w:space="0"/>
              <w:right w:val="single" w:color="auto" w:sz="6" w:space="0"/>
            </w:tcBorders>
            <w:noWrap w:val="0"/>
            <w:vAlign w:val="center"/>
          </w:tcPr>
          <w:p w14:paraId="01B179A0">
            <w:pPr>
              <w:autoSpaceDE/>
              <w:autoSpaceDN/>
              <w:snapToGrid/>
              <w:spacing w:line="240" w:lineRule="auto"/>
              <w:ind w:firstLine="0" w:firstLineChars="0"/>
              <w:jc w:val="center"/>
              <w:rPr>
                <w:rFonts w:hint="eastAsia" w:ascii="宋体" w:hAnsi="宋体" w:eastAsia="宋体" w:cs="Times New Roman"/>
                <w:snapToGrid/>
                <w:color w:val="auto"/>
                <w:kern w:val="2"/>
                <w:sz w:val="24"/>
                <w:szCs w:val="28"/>
                <w:highlight w:val="none"/>
                <w:lang w:val="en-US" w:eastAsia="zh-CN" w:bidi="ar-SA"/>
              </w:rPr>
            </w:pPr>
            <w:r>
              <w:rPr>
                <w:rFonts w:hint="eastAsia" w:ascii="宋体" w:hAnsi="宋体" w:eastAsia="宋体" w:cs="Times New Roman"/>
                <w:snapToGrid/>
                <w:color w:val="auto"/>
                <w:kern w:val="2"/>
                <w:sz w:val="24"/>
                <w:szCs w:val="28"/>
                <w:highlight w:val="none"/>
                <w:lang w:val="en-US" w:eastAsia="zh-CN" w:bidi="ar-SA"/>
              </w:rPr>
              <w:t>周  妍</w:t>
            </w:r>
          </w:p>
        </w:tc>
        <w:tc>
          <w:tcPr>
            <w:tcW w:w="4150" w:type="dxa"/>
            <w:tcBorders>
              <w:top w:val="single" w:color="auto" w:sz="6" w:space="0"/>
              <w:left w:val="single" w:color="auto" w:sz="6" w:space="0"/>
              <w:bottom w:val="single" w:color="auto" w:sz="6" w:space="0"/>
              <w:right w:val="single" w:color="auto" w:sz="6" w:space="0"/>
            </w:tcBorders>
            <w:noWrap w:val="0"/>
            <w:vAlign w:val="center"/>
          </w:tcPr>
          <w:p w14:paraId="0613DF1F">
            <w:pPr>
              <w:keepNext w:val="0"/>
              <w:keepLines w:val="0"/>
              <w:widowControl/>
              <w:suppressLineNumbers w:val="0"/>
              <w:jc w:val="center"/>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无锡净慧养老服务运营管理集团有限公司</w:t>
            </w:r>
          </w:p>
        </w:tc>
        <w:tc>
          <w:tcPr>
            <w:tcW w:w="2067" w:type="dxa"/>
            <w:tcBorders>
              <w:top w:val="single" w:color="auto" w:sz="6" w:space="0"/>
              <w:left w:val="single" w:color="auto" w:sz="6" w:space="0"/>
              <w:bottom w:val="single" w:color="auto" w:sz="6" w:space="0"/>
              <w:right w:val="single" w:color="auto" w:sz="6" w:space="0"/>
            </w:tcBorders>
            <w:noWrap w:val="0"/>
            <w:vAlign w:val="center"/>
          </w:tcPr>
          <w:p w14:paraId="27BDF169">
            <w:pPr>
              <w:autoSpaceDE/>
              <w:autoSpaceDN/>
              <w:snapToGrid/>
              <w:spacing w:line="240" w:lineRule="auto"/>
              <w:ind w:firstLine="0" w:firstLineChars="0"/>
              <w:jc w:val="center"/>
              <w:rPr>
                <w:rFonts w:hint="eastAsia" w:ascii="宋体" w:hAnsi="宋体" w:eastAsia="宋体" w:cs="Times New Roman"/>
                <w:snapToGrid/>
                <w:color w:val="auto"/>
                <w:kern w:val="2"/>
                <w:sz w:val="24"/>
                <w:szCs w:val="28"/>
                <w:highlight w:val="none"/>
                <w:lang w:val="en-US" w:eastAsia="zh-CN" w:bidi="ar-SA"/>
              </w:rPr>
            </w:pPr>
            <w:r>
              <w:rPr>
                <w:rFonts w:hint="eastAsia" w:ascii="宋体" w:hAnsi="宋体" w:eastAsia="宋体" w:cs="Times New Roman"/>
                <w:snapToGrid/>
                <w:color w:val="auto"/>
                <w:kern w:val="2"/>
                <w:sz w:val="24"/>
                <w:szCs w:val="28"/>
                <w:highlight w:val="none"/>
                <w:lang w:val="en-US" w:eastAsia="zh-CN"/>
              </w:rPr>
              <w:t>参与调研和研讨</w:t>
            </w:r>
          </w:p>
        </w:tc>
      </w:tr>
      <w:tr w14:paraId="73E94DEE">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jc w:val="center"/>
        </w:trPr>
        <w:tc>
          <w:tcPr>
            <w:tcW w:w="793" w:type="dxa"/>
            <w:tcBorders>
              <w:top w:val="single" w:color="auto" w:sz="6" w:space="0"/>
              <w:bottom w:val="single" w:color="auto" w:sz="6" w:space="0"/>
              <w:right w:val="single" w:color="auto" w:sz="6" w:space="0"/>
            </w:tcBorders>
            <w:noWrap w:val="0"/>
            <w:vAlign w:val="center"/>
          </w:tcPr>
          <w:p w14:paraId="7659773F">
            <w:pPr>
              <w:numPr>
                <w:ilvl w:val="0"/>
                <w:numId w:val="4"/>
              </w:numPr>
              <w:autoSpaceDE/>
              <w:autoSpaceDN/>
              <w:snapToGrid/>
              <w:spacing w:line="240" w:lineRule="auto"/>
              <w:ind w:left="425" w:leftChars="0" w:hanging="425" w:firstLineChars="0"/>
              <w:jc w:val="center"/>
              <w:rPr>
                <w:rFonts w:hint="default" w:ascii="宋体" w:hAnsi="宋体" w:eastAsia="宋体" w:cs="Times New Roman"/>
                <w:snapToGrid/>
                <w:color w:val="auto"/>
                <w:kern w:val="2"/>
                <w:sz w:val="24"/>
                <w:szCs w:val="28"/>
                <w:highlight w:val="none"/>
                <w:lang w:val="en-US" w:eastAsia="zh-CN"/>
              </w:rPr>
            </w:pPr>
          </w:p>
        </w:tc>
        <w:tc>
          <w:tcPr>
            <w:tcW w:w="1100" w:type="dxa"/>
            <w:tcBorders>
              <w:top w:val="single" w:color="auto" w:sz="6" w:space="0"/>
              <w:left w:val="single" w:color="auto" w:sz="6" w:space="0"/>
              <w:bottom w:val="single" w:color="auto" w:sz="6" w:space="0"/>
              <w:right w:val="single" w:color="auto" w:sz="6" w:space="0"/>
            </w:tcBorders>
            <w:noWrap w:val="0"/>
            <w:vAlign w:val="center"/>
          </w:tcPr>
          <w:p w14:paraId="4C9F3E71">
            <w:pPr>
              <w:autoSpaceDE/>
              <w:autoSpaceDN/>
              <w:snapToGrid/>
              <w:spacing w:line="240" w:lineRule="auto"/>
              <w:ind w:firstLine="0" w:firstLineChars="0"/>
              <w:jc w:val="center"/>
              <w:rPr>
                <w:rFonts w:hint="eastAsia" w:ascii="宋体" w:hAnsi="宋体" w:eastAsia="宋体" w:cs="Times New Roman"/>
                <w:snapToGrid/>
                <w:color w:val="auto"/>
                <w:kern w:val="2"/>
                <w:sz w:val="24"/>
                <w:szCs w:val="28"/>
                <w:highlight w:val="none"/>
                <w:lang w:val="en-US" w:eastAsia="zh-CN" w:bidi="ar-SA"/>
              </w:rPr>
            </w:pPr>
            <w:r>
              <w:rPr>
                <w:rFonts w:hint="eastAsia" w:ascii="宋体" w:hAnsi="宋体" w:eastAsia="宋体" w:cs="Times New Roman"/>
                <w:snapToGrid/>
                <w:color w:val="auto"/>
                <w:kern w:val="2"/>
                <w:sz w:val="24"/>
                <w:szCs w:val="28"/>
                <w:highlight w:val="none"/>
                <w:lang w:val="en-US" w:eastAsia="zh-CN" w:bidi="ar-SA"/>
              </w:rPr>
              <w:t>张鹏飞</w:t>
            </w:r>
          </w:p>
        </w:tc>
        <w:tc>
          <w:tcPr>
            <w:tcW w:w="4150" w:type="dxa"/>
            <w:tcBorders>
              <w:top w:val="single" w:color="auto" w:sz="6" w:space="0"/>
              <w:left w:val="single" w:color="auto" w:sz="6" w:space="0"/>
              <w:bottom w:val="single" w:color="auto" w:sz="6" w:space="0"/>
              <w:right w:val="single" w:color="auto" w:sz="6" w:space="0"/>
            </w:tcBorders>
            <w:noWrap w:val="0"/>
            <w:vAlign w:val="center"/>
          </w:tcPr>
          <w:p w14:paraId="4D4DB535">
            <w:pPr>
              <w:keepNext w:val="0"/>
              <w:keepLines w:val="0"/>
              <w:widowControl/>
              <w:suppressLineNumbers w:val="0"/>
              <w:jc w:val="center"/>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江苏康乐年华企业管理咨询有限公司</w:t>
            </w:r>
          </w:p>
        </w:tc>
        <w:tc>
          <w:tcPr>
            <w:tcW w:w="2067" w:type="dxa"/>
            <w:tcBorders>
              <w:top w:val="single" w:color="auto" w:sz="6" w:space="0"/>
              <w:left w:val="single" w:color="auto" w:sz="6" w:space="0"/>
              <w:bottom w:val="single" w:color="auto" w:sz="6" w:space="0"/>
              <w:right w:val="single" w:color="auto" w:sz="6" w:space="0"/>
            </w:tcBorders>
            <w:noWrap w:val="0"/>
            <w:vAlign w:val="center"/>
          </w:tcPr>
          <w:p w14:paraId="3D243F26">
            <w:pPr>
              <w:autoSpaceDE/>
              <w:autoSpaceDN/>
              <w:snapToGrid/>
              <w:spacing w:line="240" w:lineRule="auto"/>
              <w:ind w:firstLine="0" w:firstLineChars="0"/>
              <w:jc w:val="center"/>
              <w:rPr>
                <w:rFonts w:hint="eastAsia" w:ascii="宋体" w:hAnsi="宋体" w:eastAsia="宋体" w:cs="Times New Roman"/>
                <w:snapToGrid/>
                <w:color w:val="auto"/>
                <w:kern w:val="2"/>
                <w:sz w:val="24"/>
                <w:szCs w:val="28"/>
                <w:highlight w:val="none"/>
                <w:lang w:val="en-US" w:eastAsia="zh-CN" w:bidi="ar-SA"/>
              </w:rPr>
            </w:pPr>
            <w:r>
              <w:rPr>
                <w:rFonts w:hint="eastAsia" w:ascii="宋体" w:hAnsi="宋体" w:eastAsia="宋体" w:cs="Times New Roman"/>
                <w:snapToGrid/>
                <w:color w:val="auto"/>
                <w:kern w:val="2"/>
                <w:sz w:val="24"/>
                <w:szCs w:val="28"/>
                <w:highlight w:val="none"/>
                <w:lang w:val="en-US" w:eastAsia="zh-CN"/>
              </w:rPr>
              <w:t>参与调研和研讨</w:t>
            </w:r>
          </w:p>
        </w:tc>
      </w:tr>
      <w:tr w14:paraId="48DF9BA2">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jc w:val="center"/>
        </w:trPr>
        <w:tc>
          <w:tcPr>
            <w:tcW w:w="793" w:type="dxa"/>
            <w:tcBorders>
              <w:top w:val="single" w:color="auto" w:sz="6" w:space="0"/>
              <w:bottom w:val="single" w:color="auto" w:sz="6" w:space="0"/>
              <w:right w:val="single" w:color="auto" w:sz="6" w:space="0"/>
            </w:tcBorders>
            <w:noWrap w:val="0"/>
            <w:vAlign w:val="center"/>
          </w:tcPr>
          <w:p w14:paraId="6446624C">
            <w:pPr>
              <w:numPr>
                <w:ilvl w:val="0"/>
                <w:numId w:val="4"/>
              </w:numPr>
              <w:autoSpaceDE/>
              <w:autoSpaceDN/>
              <w:snapToGrid/>
              <w:spacing w:line="240" w:lineRule="auto"/>
              <w:ind w:left="425" w:leftChars="0" w:hanging="425" w:firstLineChars="0"/>
              <w:jc w:val="center"/>
              <w:rPr>
                <w:rFonts w:hint="default" w:ascii="宋体" w:hAnsi="宋体" w:eastAsia="宋体" w:cs="Times New Roman"/>
                <w:snapToGrid/>
                <w:color w:val="auto"/>
                <w:kern w:val="2"/>
                <w:sz w:val="24"/>
                <w:szCs w:val="28"/>
                <w:highlight w:val="none"/>
                <w:lang w:val="en-US" w:eastAsia="zh-CN"/>
              </w:rPr>
            </w:pPr>
          </w:p>
        </w:tc>
        <w:tc>
          <w:tcPr>
            <w:tcW w:w="1100" w:type="dxa"/>
            <w:tcBorders>
              <w:top w:val="single" w:color="auto" w:sz="6" w:space="0"/>
              <w:left w:val="single" w:color="auto" w:sz="6" w:space="0"/>
              <w:bottom w:val="single" w:color="auto" w:sz="6" w:space="0"/>
              <w:right w:val="single" w:color="auto" w:sz="6" w:space="0"/>
            </w:tcBorders>
            <w:noWrap w:val="0"/>
            <w:vAlign w:val="center"/>
          </w:tcPr>
          <w:p w14:paraId="489B7B75">
            <w:pPr>
              <w:autoSpaceDE/>
              <w:autoSpaceDN/>
              <w:snapToGrid/>
              <w:spacing w:line="240" w:lineRule="auto"/>
              <w:ind w:firstLine="0" w:firstLineChars="0"/>
              <w:jc w:val="center"/>
              <w:rPr>
                <w:rFonts w:hint="eastAsia" w:ascii="宋体" w:hAnsi="宋体" w:eastAsia="宋体" w:cs="Times New Roman"/>
                <w:snapToGrid/>
                <w:color w:val="auto"/>
                <w:kern w:val="2"/>
                <w:sz w:val="24"/>
                <w:szCs w:val="28"/>
                <w:highlight w:val="none"/>
                <w:lang w:val="en-US" w:eastAsia="zh-CN" w:bidi="ar-SA"/>
              </w:rPr>
            </w:pPr>
            <w:r>
              <w:rPr>
                <w:rFonts w:hint="eastAsia" w:ascii="宋体" w:hAnsi="宋体" w:eastAsia="宋体" w:cs="Times New Roman"/>
                <w:snapToGrid/>
                <w:color w:val="auto"/>
                <w:kern w:val="2"/>
                <w:sz w:val="24"/>
                <w:szCs w:val="28"/>
                <w:highlight w:val="none"/>
                <w:lang w:val="en-US" w:eastAsia="zh-CN" w:bidi="ar-SA"/>
              </w:rPr>
              <w:t>张锦睿</w:t>
            </w:r>
          </w:p>
        </w:tc>
        <w:tc>
          <w:tcPr>
            <w:tcW w:w="4150" w:type="dxa"/>
            <w:tcBorders>
              <w:top w:val="single" w:color="auto" w:sz="6" w:space="0"/>
              <w:left w:val="single" w:color="auto" w:sz="6" w:space="0"/>
              <w:bottom w:val="single" w:color="auto" w:sz="6" w:space="0"/>
              <w:right w:val="single" w:color="auto" w:sz="6" w:space="0"/>
            </w:tcBorders>
            <w:noWrap w:val="0"/>
            <w:vAlign w:val="center"/>
          </w:tcPr>
          <w:p w14:paraId="015B152A">
            <w:pPr>
              <w:keepNext w:val="0"/>
              <w:keepLines w:val="0"/>
              <w:widowControl/>
              <w:suppressLineNumbers w:val="0"/>
              <w:jc w:val="center"/>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江苏康乐年华企业管理咨询有限公司</w:t>
            </w:r>
          </w:p>
        </w:tc>
        <w:tc>
          <w:tcPr>
            <w:tcW w:w="2067" w:type="dxa"/>
            <w:tcBorders>
              <w:top w:val="single" w:color="auto" w:sz="6" w:space="0"/>
              <w:left w:val="single" w:color="auto" w:sz="6" w:space="0"/>
              <w:bottom w:val="single" w:color="auto" w:sz="6" w:space="0"/>
              <w:right w:val="single" w:color="auto" w:sz="6" w:space="0"/>
            </w:tcBorders>
            <w:noWrap w:val="0"/>
            <w:vAlign w:val="center"/>
          </w:tcPr>
          <w:p w14:paraId="1E48F386">
            <w:pPr>
              <w:autoSpaceDE/>
              <w:autoSpaceDN/>
              <w:snapToGrid/>
              <w:spacing w:line="240" w:lineRule="auto"/>
              <w:ind w:firstLine="0" w:firstLineChars="0"/>
              <w:jc w:val="center"/>
              <w:rPr>
                <w:rFonts w:hint="eastAsia" w:ascii="宋体" w:hAnsi="宋体" w:eastAsia="宋体" w:cs="Times New Roman"/>
                <w:snapToGrid/>
                <w:color w:val="auto"/>
                <w:kern w:val="2"/>
                <w:sz w:val="24"/>
                <w:szCs w:val="28"/>
                <w:highlight w:val="none"/>
                <w:lang w:val="en-US" w:eastAsia="zh-CN" w:bidi="ar-SA"/>
              </w:rPr>
            </w:pPr>
            <w:r>
              <w:rPr>
                <w:rFonts w:hint="eastAsia" w:ascii="宋体" w:hAnsi="宋体" w:eastAsia="宋体" w:cs="Times New Roman"/>
                <w:snapToGrid/>
                <w:color w:val="auto"/>
                <w:kern w:val="2"/>
                <w:sz w:val="24"/>
                <w:szCs w:val="28"/>
                <w:highlight w:val="none"/>
                <w:lang w:val="en-US" w:eastAsia="zh-CN"/>
              </w:rPr>
              <w:t>参与调研和研讨</w:t>
            </w:r>
          </w:p>
        </w:tc>
      </w:tr>
      <w:tr w14:paraId="0BDB5F22">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jc w:val="center"/>
        </w:trPr>
        <w:tc>
          <w:tcPr>
            <w:tcW w:w="793" w:type="dxa"/>
            <w:tcBorders>
              <w:top w:val="single" w:color="auto" w:sz="6" w:space="0"/>
              <w:bottom w:val="single" w:color="auto" w:sz="6" w:space="0"/>
              <w:right w:val="single" w:color="auto" w:sz="6" w:space="0"/>
            </w:tcBorders>
            <w:noWrap w:val="0"/>
            <w:vAlign w:val="center"/>
          </w:tcPr>
          <w:p w14:paraId="13E14B6C">
            <w:pPr>
              <w:numPr>
                <w:ilvl w:val="0"/>
                <w:numId w:val="4"/>
              </w:numPr>
              <w:autoSpaceDE/>
              <w:autoSpaceDN/>
              <w:snapToGrid/>
              <w:spacing w:line="240" w:lineRule="auto"/>
              <w:ind w:left="425" w:leftChars="0" w:hanging="425" w:firstLineChars="0"/>
              <w:jc w:val="center"/>
              <w:rPr>
                <w:rFonts w:hint="default" w:ascii="宋体" w:hAnsi="宋体" w:eastAsia="宋体" w:cs="Times New Roman"/>
                <w:snapToGrid/>
                <w:color w:val="auto"/>
                <w:kern w:val="2"/>
                <w:sz w:val="24"/>
                <w:szCs w:val="28"/>
                <w:highlight w:val="none"/>
                <w:lang w:val="en-US" w:eastAsia="zh-CN"/>
              </w:rPr>
            </w:pPr>
          </w:p>
        </w:tc>
        <w:tc>
          <w:tcPr>
            <w:tcW w:w="1100" w:type="dxa"/>
            <w:tcBorders>
              <w:top w:val="single" w:color="auto" w:sz="6" w:space="0"/>
              <w:left w:val="single" w:color="auto" w:sz="6" w:space="0"/>
              <w:bottom w:val="single" w:color="auto" w:sz="6" w:space="0"/>
              <w:right w:val="single" w:color="auto" w:sz="6" w:space="0"/>
            </w:tcBorders>
            <w:noWrap w:val="0"/>
            <w:vAlign w:val="center"/>
          </w:tcPr>
          <w:p w14:paraId="20631EE0">
            <w:pPr>
              <w:autoSpaceDE/>
              <w:autoSpaceDN/>
              <w:snapToGrid/>
              <w:spacing w:line="240" w:lineRule="auto"/>
              <w:ind w:firstLine="0" w:firstLineChars="0"/>
              <w:jc w:val="center"/>
              <w:rPr>
                <w:rFonts w:hint="eastAsia" w:ascii="宋体" w:hAnsi="宋体" w:eastAsia="宋体" w:cs="Times New Roman"/>
                <w:snapToGrid/>
                <w:color w:val="auto"/>
                <w:kern w:val="2"/>
                <w:sz w:val="24"/>
                <w:szCs w:val="28"/>
                <w:highlight w:val="none"/>
                <w:lang w:val="en-US" w:eastAsia="zh-CN" w:bidi="ar-SA"/>
              </w:rPr>
            </w:pPr>
            <w:r>
              <w:rPr>
                <w:rFonts w:hint="eastAsia" w:ascii="宋体" w:hAnsi="宋体" w:eastAsia="宋体" w:cs="Times New Roman"/>
                <w:snapToGrid/>
                <w:color w:val="auto"/>
                <w:kern w:val="2"/>
                <w:sz w:val="24"/>
                <w:szCs w:val="28"/>
                <w:highlight w:val="none"/>
                <w:lang w:val="en-US" w:eastAsia="zh-CN" w:bidi="ar-SA"/>
              </w:rPr>
              <w:t>陈贝妮</w:t>
            </w:r>
          </w:p>
        </w:tc>
        <w:tc>
          <w:tcPr>
            <w:tcW w:w="4150" w:type="dxa"/>
            <w:tcBorders>
              <w:top w:val="single" w:color="auto" w:sz="6" w:space="0"/>
              <w:left w:val="single" w:color="auto" w:sz="6" w:space="0"/>
              <w:bottom w:val="single" w:color="auto" w:sz="6" w:space="0"/>
              <w:right w:val="single" w:color="auto" w:sz="6" w:space="0"/>
            </w:tcBorders>
            <w:noWrap w:val="0"/>
            <w:vAlign w:val="center"/>
          </w:tcPr>
          <w:p w14:paraId="247E33C9">
            <w:pPr>
              <w:keepNext w:val="0"/>
              <w:keepLines w:val="0"/>
              <w:widowControl/>
              <w:suppressLineNumbers w:val="0"/>
              <w:jc w:val="center"/>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江苏康乐年华企业管理咨询有限公司</w:t>
            </w:r>
          </w:p>
        </w:tc>
        <w:tc>
          <w:tcPr>
            <w:tcW w:w="2067" w:type="dxa"/>
            <w:tcBorders>
              <w:top w:val="single" w:color="auto" w:sz="6" w:space="0"/>
              <w:left w:val="single" w:color="auto" w:sz="6" w:space="0"/>
              <w:bottom w:val="single" w:color="auto" w:sz="6" w:space="0"/>
              <w:right w:val="single" w:color="auto" w:sz="6" w:space="0"/>
            </w:tcBorders>
            <w:noWrap w:val="0"/>
            <w:vAlign w:val="center"/>
          </w:tcPr>
          <w:p w14:paraId="6F136EBA">
            <w:pPr>
              <w:autoSpaceDE/>
              <w:autoSpaceDN/>
              <w:snapToGrid/>
              <w:spacing w:line="240" w:lineRule="auto"/>
              <w:ind w:firstLine="0"/>
              <w:jc w:val="center"/>
              <w:rPr>
                <w:rFonts w:hint="eastAsia" w:ascii="宋体" w:hAnsi="宋体" w:eastAsia="宋体" w:cs="Times New Roman"/>
                <w:snapToGrid/>
                <w:color w:val="auto"/>
                <w:kern w:val="2"/>
                <w:sz w:val="24"/>
                <w:szCs w:val="28"/>
                <w:highlight w:val="none"/>
                <w:lang w:val="en-US" w:eastAsia="zh-CN"/>
              </w:rPr>
            </w:pPr>
            <w:r>
              <w:rPr>
                <w:rFonts w:hint="eastAsia" w:ascii="宋体" w:hAnsi="宋体" w:eastAsia="宋体" w:cs="Times New Roman"/>
                <w:snapToGrid/>
                <w:color w:val="auto"/>
                <w:kern w:val="2"/>
                <w:sz w:val="24"/>
                <w:szCs w:val="28"/>
                <w:highlight w:val="none"/>
                <w:lang w:val="en-US" w:eastAsia="zh-CN"/>
              </w:rPr>
              <w:t>参与调研和研讨</w:t>
            </w:r>
          </w:p>
        </w:tc>
      </w:tr>
    </w:tbl>
    <w:p w14:paraId="62331A7E">
      <w:pPr>
        <w:pStyle w:val="3"/>
        <w:ind w:left="0" w:leftChars="0" w:firstLine="640" w:firstLineChars="200"/>
        <w:jc w:val="both"/>
        <w:rPr>
          <w:rFonts w:hint="eastAsia" w:ascii="Times New Roman" w:hAnsi="Times New Roman" w:eastAsia="仿宋" w:cs="Times New Roman"/>
          <w:b w:val="0"/>
          <w:bCs w:val="0"/>
          <w:lang w:val="en-US" w:eastAsia="zh-CN" w:bidi="ar-SA"/>
        </w:rPr>
      </w:pPr>
    </w:p>
    <w:p w14:paraId="3A8A16FD">
      <w:pPr>
        <w:pStyle w:val="2"/>
        <w:bidi w:val="0"/>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6100FB1-5D56-4C15-8ABB-A6C4E4A47AF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embedRegular r:id="rId2" w:fontKey="{D62F9570-426E-466D-BD3E-3330C2271796}"/>
  </w:font>
  <w:font w:name="方正仿宋_GBK">
    <w:panose1 w:val="03000509000000000000"/>
    <w:charset w:val="86"/>
    <w:family w:val="auto"/>
    <w:pitch w:val="default"/>
    <w:sig w:usb0="00000001" w:usb1="080E0000" w:usb2="00000000" w:usb3="00000000" w:csb0="003C0041" w:csb1="A0080000"/>
    <w:embedRegular r:id="rId3" w:fontKey="{1CD91AD6-59D8-4D62-9B1A-B61FEC7714CA}"/>
  </w:font>
  <w:font w:name="仿宋">
    <w:panose1 w:val="02010609060101010101"/>
    <w:charset w:val="86"/>
    <w:family w:val="modern"/>
    <w:pitch w:val="default"/>
    <w:sig w:usb0="800002BF" w:usb1="38CF7CFA" w:usb2="00000016" w:usb3="00000000" w:csb0="00040001" w:csb1="00000000"/>
    <w:embedRegular r:id="rId4" w:fontKey="{1E89F234-0599-47A6-99D7-BAF4679DB710}"/>
  </w:font>
  <w:font w:name="楷体">
    <w:panose1 w:val="02010609060101010101"/>
    <w:charset w:val="86"/>
    <w:family w:val="modern"/>
    <w:pitch w:val="default"/>
    <w:sig w:usb0="800002BF" w:usb1="38CF7CFA" w:usb2="00000016" w:usb3="00000000" w:csb0="00040001" w:csb1="00000000"/>
    <w:embedRegular r:id="rId5" w:fontKey="{904E1040-7C7F-4CFD-9DC0-BDC870523E0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E9F23">
    <w:pPr>
      <w:pStyle w:val="5"/>
      <w:jc w:val="center"/>
    </w:pPr>
    <w:r>
      <w:fldChar w:fldCharType="begin"/>
    </w:r>
    <w:r>
      <w:instrText xml:space="preserve">PAGE   \* MERGEFORMAT</w:instrText>
    </w:r>
    <w:r>
      <w:fldChar w:fldCharType="separate"/>
    </w:r>
    <w:r>
      <w:rPr>
        <w:lang w:val="zh-CN"/>
      </w:rPr>
      <w:t>2</w:t>
    </w:r>
    <w:r>
      <w:rPr>
        <w:lang w:val="zh-CN"/>
      </w:rPr>
      <w:fldChar w:fldCharType="end"/>
    </w:r>
  </w:p>
  <w:p w14:paraId="1B0B59DE">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5609A"/>
    <w:multiLevelType w:val="singleLevel"/>
    <w:tmpl w:val="98C5609A"/>
    <w:lvl w:ilvl="0" w:tentative="0">
      <w:start w:val="1"/>
      <w:numFmt w:val="chineseCounting"/>
      <w:suff w:val="nothing"/>
      <w:lvlText w:val="（%1）"/>
      <w:lvlJc w:val="left"/>
      <w:rPr>
        <w:rFonts w:hint="eastAsia"/>
      </w:rPr>
    </w:lvl>
  </w:abstractNum>
  <w:abstractNum w:abstractNumId="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3"/>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12"/>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64C6EBD2"/>
    <w:multiLevelType w:val="singleLevel"/>
    <w:tmpl w:val="64C6EBD2"/>
    <w:lvl w:ilvl="0" w:tentative="0">
      <w:start w:val="1"/>
      <w:numFmt w:val="chineseCounting"/>
      <w:suff w:val="nothing"/>
      <w:lvlText w:val="%1、"/>
      <w:lvlJc w:val="left"/>
      <w:rPr>
        <w:rFonts w:hint="eastAsia"/>
      </w:rPr>
    </w:lvl>
  </w:abstractNum>
  <w:abstractNum w:abstractNumId="3">
    <w:nsid w:val="703FA5C4"/>
    <w:multiLevelType w:val="singleLevel"/>
    <w:tmpl w:val="703FA5C4"/>
    <w:lvl w:ilvl="0" w:tentative="0">
      <w:start w:val="1"/>
      <w:numFmt w:val="decimal"/>
      <w:lvlText w:val="%1."/>
      <w:lvlJc w:val="left"/>
      <w:pPr>
        <w:ind w:left="425" w:hanging="425"/>
      </w:pPr>
      <w:rPr>
        <w:rFont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kMjljYTVhODNhN2M2NTRlNjlmOTVhOTE1MDk4YzAifQ=="/>
    <w:docVar w:name="KSO_WPS_MARK_KEY" w:val="4c67eaa7-f79c-4df4-afd0-1fcaae559b2d"/>
  </w:docVars>
  <w:rsids>
    <w:rsidRoot w:val="003E1C85"/>
    <w:rsid w:val="000D1D8A"/>
    <w:rsid w:val="00107556"/>
    <w:rsid w:val="00154BEF"/>
    <w:rsid w:val="002A51C3"/>
    <w:rsid w:val="0033344F"/>
    <w:rsid w:val="00392C44"/>
    <w:rsid w:val="003E1C85"/>
    <w:rsid w:val="00430944"/>
    <w:rsid w:val="004B4F8E"/>
    <w:rsid w:val="0050788A"/>
    <w:rsid w:val="00596F82"/>
    <w:rsid w:val="005B4E6A"/>
    <w:rsid w:val="00774B1D"/>
    <w:rsid w:val="00792E88"/>
    <w:rsid w:val="00802032"/>
    <w:rsid w:val="00866226"/>
    <w:rsid w:val="00875ECA"/>
    <w:rsid w:val="00AD4A43"/>
    <w:rsid w:val="00B738F0"/>
    <w:rsid w:val="00BA5CA4"/>
    <w:rsid w:val="00BC3B07"/>
    <w:rsid w:val="00BF5FFD"/>
    <w:rsid w:val="00CA1C9F"/>
    <w:rsid w:val="00D00CC8"/>
    <w:rsid w:val="00D17E26"/>
    <w:rsid w:val="00E0087C"/>
    <w:rsid w:val="00E37A47"/>
    <w:rsid w:val="00E62DEF"/>
    <w:rsid w:val="00E96C65"/>
    <w:rsid w:val="00F91B61"/>
    <w:rsid w:val="00FE63B9"/>
    <w:rsid w:val="01203140"/>
    <w:rsid w:val="01287D53"/>
    <w:rsid w:val="01300B33"/>
    <w:rsid w:val="01304784"/>
    <w:rsid w:val="01333B5D"/>
    <w:rsid w:val="01495E32"/>
    <w:rsid w:val="014A06A8"/>
    <w:rsid w:val="01510B08"/>
    <w:rsid w:val="01560704"/>
    <w:rsid w:val="015B1F4F"/>
    <w:rsid w:val="01665CE0"/>
    <w:rsid w:val="01693109"/>
    <w:rsid w:val="01747A90"/>
    <w:rsid w:val="017525A3"/>
    <w:rsid w:val="0177480F"/>
    <w:rsid w:val="01814BDF"/>
    <w:rsid w:val="018E63DD"/>
    <w:rsid w:val="019B6138"/>
    <w:rsid w:val="01AF475B"/>
    <w:rsid w:val="01C34EE1"/>
    <w:rsid w:val="01C91E2E"/>
    <w:rsid w:val="01DC61F6"/>
    <w:rsid w:val="01EE11B8"/>
    <w:rsid w:val="01FA7AC3"/>
    <w:rsid w:val="021749CF"/>
    <w:rsid w:val="0219512B"/>
    <w:rsid w:val="02254C9B"/>
    <w:rsid w:val="023B7194"/>
    <w:rsid w:val="024635C8"/>
    <w:rsid w:val="02542ECB"/>
    <w:rsid w:val="02635D8A"/>
    <w:rsid w:val="026A10B5"/>
    <w:rsid w:val="0274688F"/>
    <w:rsid w:val="027E4099"/>
    <w:rsid w:val="02810E4E"/>
    <w:rsid w:val="0284056C"/>
    <w:rsid w:val="02884D88"/>
    <w:rsid w:val="028A0A45"/>
    <w:rsid w:val="02B5764C"/>
    <w:rsid w:val="02B82860"/>
    <w:rsid w:val="02BA3C25"/>
    <w:rsid w:val="02CB4DB2"/>
    <w:rsid w:val="02CC0D6C"/>
    <w:rsid w:val="02D53988"/>
    <w:rsid w:val="02DB5143"/>
    <w:rsid w:val="02DF44A5"/>
    <w:rsid w:val="02E147E9"/>
    <w:rsid w:val="02E5149B"/>
    <w:rsid w:val="02EB2506"/>
    <w:rsid w:val="02EE129E"/>
    <w:rsid w:val="02F65B17"/>
    <w:rsid w:val="03050F08"/>
    <w:rsid w:val="031148DF"/>
    <w:rsid w:val="031327EB"/>
    <w:rsid w:val="031D3BAA"/>
    <w:rsid w:val="0331796C"/>
    <w:rsid w:val="03356A2A"/>
    <w:rsid w:val="034A09A9"/>
    <w:rsid w:val="036D35C7"/>
    <w:rsid w:val="037D316A"/>
    <w:rsid w:val="03801303"/>
    <w:rsid w:val="03805CBD"/>
    <w:rsid w:val="038829F6"/>
    <w:rsid w:val="03895B08"/>
    <w:rsid w:val="038B6153"/>
    <w:rsid w:val="038E65C4"/>
    <w:rsid w:val="03AD53EC"/>
    <w:rsid w:val="03D94343"/>
    <w:rsid w:val="03DA0029"/>
    <w:rsid w:val="03DE5592"/>
    <w:rsid w:val="03E82434"/>
    <w:rsid w:val="03F759BD"/>
    <w:rsid w:val="03F9070F"/>
    <w:rsid w:val="0414487E"/>
    <w:rsid w:val="04256903"/>
    <w:rsid w:val="042E6492"/>
    <w:rsid w:val="043F2DC8"/>
    <w:rsid w:val="044A2B09"/>
    <w:rsid w:val="044B5C71"/>
    <w:rsid w:val="047E158B"/>
    <w:rsid w:val="04873116"/>
    <w:rsid w:val="048D49CD"/>
    <w:rsid w:val="049D458E"/>
    <w:rsid w:val="049F426C"/>
    <w:rsid w:val="04A2714B"/>
    <w:rsid w:val="04C41ABB"/>
    <w:rsid w:val="04D35290"/>
    <w:rsid w:val="04E80810"/>
    <w:rsid w:val="04E95320"/>
    <w:rsid w:val="04F16F06"/>
    <w:rsid w:val="05007393"/>
    <w:rsid w:val="0504165D"/>
    <w:rsid w:val="05056268"/>
    <w:rsid w:val="05090C78"/>
    <w:rsid w:val="050B23CE"/>
    <w:rsid w:val="05124507"/>
    <w:rsid w:val="05180D79"/>
    <w:rsid w:val="05244B10"/>
    <w:rsid w:val="05285F59"/>
    <w:rsid w:val="052E127B"/>
    <w:rsid w:val="05311146"/>
    <w:rsid w:val="05381D2B"/>
    <w:rsid w:val="0553543A"/>
    <w:rsid w:val="055F734B"/>
    <w:rsid w:val="0563700A"/>
    <w:rsid w:val="056D71CF"/>
    <w:rsid w:val="059073A0"/>
    <w:rsid w:val="0592636A"/>
    <w:rsid w:val="05A1621C"/>
    <w:rsid w:val="05AC700C"/>
    <w:rsid w:val="05C010CD"/>
    <w:rsid w:val="05C1335C"/>
    <w:rsid w:val="05C34ABD"/>
    <w:rsid w:val="05DC4311"/>
    <w:rsid w:val="05DD042B"/>
    <w:rsid w:val="05E2165F"/>
    <w:rsid w:val="05EA2C93"/>
    <w:rsid w:val="05EB3DB7"/>
    <w:rsid w:val="05F12BB4"/>
    <w:rsid w:val="060808C7"/>
    <w:rsid w:val="06235982"/>
    <w:rsid w:val="06296B98"/>
    <w:rsid w:val="063A4897"/>
    <w:rsid w:val="063C2022"/>
    <w:rsid w:val="0640444D"/>
    <w:rsid w:val="064802DE"/>
    <w:rsid w:val="064B1766"/>
    <w:rsid w:val="06552ED1"/>
    <w:rsid w:val="066037A4"/>
    <w:rsid w:val="06694680"/>
    <w:rsid w:val="067E7FEE"/>
    <w:rsid w:val="06A47004"/>
    <w:rsid w:val="06AC2562"/>
    <w:rsid w:val="06AC45F1"/>
    <w:rsid w:val="06BD36E3"/>
    <w:rsid w:val="06C91C2F"/>
    <w:rsid w:val="06C9774A"/>
    <w:rsid w:val="06DC4367"/>
    <w:rsid w:val="06E97ABF"/>
    <w:rsid w:val="06EC220E"/>
    <w:rsid w:val="06F91EDA"/>
    <w:rsid w:val="06FB6DFC"/>
    <w:rsid w:val="06FC5468"/>
    <w:rsid w:val="070112CD"/>
    <w:rsid w:val="0705241D"/>
    <w:rsid w:val="071168F6"/>
    <w:rsid w:val="07236037"/>
    <w:rsid w:val="07242F25"/>
    <w:rsid w:val="07306C96"/>
    <w:rsid w:val="074A59DA"/>
    <w:rsid w:val="07545885"/>
    <w:rsid w:val="07595E64"/>
    <w:rsid w:val="0794236E"/>
    <w:rsid w:val="07984E41"/>
    <w:rsid w:val="079D53C3"/>
    <w:rsid w:val="07B33B6D"/>
    <w:rsid w:val="07C418FE"/>
    <w:rsid w:val="07CE5A68"/>
    <w:rsid w:val="07D03AC9"/>
    <w:rsid w:val="07D2547A"/>
    <w:rsid w:val="07D57E58"/>
    <w:rsid w:val="07D62212"/>
    <w:rsid w:val="07DE381A"/>
    <w:rsid w:val="07DF1F50"/>
    <w:rsid w:val="07E32BC8"/>
    <w:rsid w:val="07E93EDB"/>
    <w:rsid w:val="07EB1DC6"/>
    <w:rsid w:val="07F13A35"/>
    <w:rsid w:val="08385F8F"/>
    <w:rsid w:val="083D712D"/>
    <w:rsid w:val="0848132E"/>
    <w:rsid w:val="084C0D70"/>
    <w:rsid w:val="08572699"/>
    <w:rsid w:val="08611AB1"/>
    <w:rsid w:val="08636452"/>
    <w:rsid w:val="08640450"/>
    <w:rsid w:val="0876166B"/>
    <w:rsid w:val="087C17B8"/>
    <w:rsid w:val="087E5E64"/>
    <w:rsid w:val="088C6408"/>
    <w:rsid w:val="08930913"/>
    <w:rsid w:val="08940A90"/>
    <w:rsid w:val="089A7386"/>
    <w:rsid w:val="08A44D47"/>
    <w:rsid w:val="08B13DE3"/>
    <w:rsid w:val="08B21928"/>
    <w:rsid w:val="08BA34F6"/>
    <w:rsid w:val="08C474DF"/>
    <w:rsid w:val="08C753B1"/>
    <w:rsid w:val="08C9593D"/>
    <w:rsid w:val="08CF2575"/>
    <w:rsid w:val="08EB4F86"/>
    <w:rsid w:val="08F778B4"/>
    <w:rsid w:val="090B2B7E"/>
    <w:rsid w:val="09110939"/>
    <w:rsid w:val="09153741"/>
    <w:rsid w:val="09195D11"/>
    <w:rsid w:val="09382482"/>
    <w:rsid w:val="093D6DC9"/>
    <w:rsid w:val="096A29FD"/>
    <w:rsid w:val="096C4355"/>
    <w:rsid w:val="09785004"/>
    <w:rsid w:val="097D322F"/>
    <w:rsid w:val="099B6E7B"/>
    <w:rsid w:val="09A36CE0"/>
    <w:rsid w:val="09C14A6C"/>
    <w:rsid w:val="09D560B7"/>
    <w:rsid w:val="09DA3C68"/>
    <w:rsid w:val="09E5197A"/>
    <w:rsid w:val="09F9605B"/>
    <w:rsid w:val="0A063C63"/>
    <w:rsid w:val="0A065046"/>
    <w:rsid w:val="0A072F9C"/>
    <w:rsid w:val="0A120E29"/>
    <w:rsid w:val="0A256946"/>
    <w:rsid w:val="0A2657CF"/>
    <w:rsid w:val="0A295CF9"/>
    <w:rsid w:val="0A34640F"/>
    <w:rsid w:val="0A363B9C"/>
    <w:rsid w:val="0A40126A"/>
    <w:rsid w:val="0A5D053B"/>
    <w:rsid w:val="0A693BC6"/>
    <w:rsid w:val="0A730DA6"/>
    <w:rsid w:val="0A7E2A98"/>
    <w:rsid w:val="0A940D47"/>
    <w:rsid w:val="0A9A3182"/>
    <w:rsid w:val="0A9E0BCE"/>
    <w:rsid w:val="0AA31E8B"/>
    <w:rsid w:val="0AA51C01"/>
    <w:rsid w:val="0AA53D9F"/>
    <w:rsid w:val="0AB830C3"/>
    <w:rsid w:val="0ABA15A4"/>
    <w:rsid w:val="0ABD5C7C"/>
    <w:rsid w:val="0ABE231F"/>
    <w:rsid w:val="0ABE7AD5"/>
    <w:rsid w:val="0ABF33B7"/>
    <w:rsid w:val="0AD64F81"/>
    <w:rsid w:val="0ADA74BE"/>
    <w:rsid w:val="0AEB3111"/>
    <w:rsid w:val="0AF636DC"/>
    <w:rsid w:val="0B043E59"/>
    <w:rsid w:val="0B1C4B68"/>
    <w:rsid w:val="0B2008D4"/>
    <w:rsid w:val="0B30636C"/>
    <w:rsid w:val="0B3303CA"/>
    <w:rsid w:val="0B3971CA"/>
    <w:rsid w:val="0B417E75"/>
    <w:rsid w:val="0B592DD8"/>
    <w:rsid w:val="0B5B4F78"/>
    <w:rsid w:val="0B652FDE"/>
    <w:rsid w:val="0B6C55EA"/>
    <w:rsid w:val="0B8A57BC"/>
    <w:rsid w:val="0B922D0C"/>
    <w:rsid w:val="0B9F706B"/>
    <w:rsid w:val="0BAE5F1B"/>
    <w:rsid w:val="0BB41D6A"/>
    <w:rsid w:val="0BB84DE3"/>
    <w:rsid w:val="0BBB79CD"/>
    <w:rsid w:val="0BC762AD"/>
    <w:rsid w:val="0BCF1F29"/>
    <w:rsid w:val="0BD034D1"/>
    <w:rsid w:val="0BD163EA"/>
    <w:rsid w:val="0BD33A14"/>
    <w:rsid w:val="0BE25577"/>
    <w:rsid w:val="0BEB071A"/>
    <w:rsid w:val="0BED6F6F"/>
    <w:rsid w:val="0BEE7937"/>
    <w:rsid w:val="0BF055A3"/>
    <w:rsid w:val="0BFE2BAA"/>
    <w:rsid w:val="0C0F4B5E"/>
    <w:rsid w:val="0C1F10AE"/>
    <w:rsid w:val="0C207E5A"/>
    <w:rsid w:val="0C211D40"/>
    <w:rsid w:val="0C217241"/>
    <w:rsid w:val="0C2B0BE0"/>
    <w:rsid w:val="0C2C43F1"/>
    <w:rsid w:val="0C336427"/>
    <w:rsid w:val="0C4B500E"/>
    <w:rsid w:val="0C5A5D17"/>
    <w:rsid w:val="0C6C1D36"/>
    <w:rsid w:val="0C724F1D"/>
    <w:rsid w:val="0C780E45"/>
    <w:rsid w:val="0C7E4A97"/>
    <w:rsid w:val="0C7F1FF6"/>
    <w:rsid w:val="0C886407"/>
    <w:rsid w:val="0C8B6926"/>
    <w:rsid w:val="0C8D2335"/>
    <w:rsid w:val="0C975105"/>
    <w:rsid w:val="0CA42D64"/>
    <w:rsid w:val="0CA45301"/>
    <w:rsid w:val="0CB2726C"/>
    <w:rsid w:val="0CB73154"/>
    <w:rsid w:val="0CC20E22"/>
    <w:rsid w:val="0CC87ADC"/>
    <w:rsid w:val="0CCE68BE"/>
    <w:rsid w:val="0CF27DAA"/>
    <w:rsid w:val="0CF55B72"/>
    <w:rsid w:val="0CFE1358"/>
    <w:rsid w:val="0D020427"/>
    <w:rsid w:val="0D105052"/>
    <w:rsid w:val="0D1B4128"/>
    <w:rsid w:val="0D1F4852"/>
    <w:rsid w:val="0D241D09"/>
    <w:rsid w:val="0D38522A"/>
    <w:rsid w:val="0D3D3CFB"/>
    <w:rsid w:val="0D49290A"/>
    <w:rsid w:val="0D7904E8"/>
    <w:rsid w:val="0D7D4206"/>
    <w:rsid w:val="0D7E7FD8"/>
    <w:rsid w:val="0D8717BD"/>
    <w:rsid w:val="0D8B59F3"/>
    <w:rsid w:val="0D91107B"/>
    <w:rsid w:val="0DA33EAD"/>
    <w:rsid w:val="0DB019BB"/>
    <w:rsid w:val="0DBD1C6D"/>
    <w:rsid w:val="0DCD32FD"/>
    <w:rsid w:val="0DCE009C"/>
    <w:rsid w:val="0DCF6BE3"/>
    <w:rsid w:val="0DD72819"/>
    <w:rsid w:val="0DF94796"/>
    <w:rsid w:val="0DFE155C"/>
    <w:rsid w:val="0E013699"/>
    <w:rsid w:val="0E26109D"/>
    <w:rsid w:val="0E2E3A1B"/>
    <w:rsid w:val="0E301653"/>
    <w:rsid w:val="0E382A16"/>
    <w:rsid w:val="0E551EBF"/>
    <w:rsid w:val="0E59465B"/>
    <w:rsid w:val="0E5A4577"/>
    <w:rsid w:val="0E5B0543"/>
    <w:rsid w:val="0E6579B2"/>
    <w:rsid w:val="0E6E30F6"/>
    <w:rsid w:val="0E7704A2"/>
    <w:rsid w:val="0E7F4385"/>
    <w:rsid w:val="0E827871"/>
    <w:rsid w:val="0E8F2C29"/>
    <w:rsid w:val="0E9A38AA"/>
    <w:rsid w:val="0EAB7486"/>
    <w:rsid w:val="0EBE400C"/>
    <w:rsid w:val="0EC64300"/>
    <w:rsid w:val="0ED87D42"/>
    <w:rsid w:val="0EDB6233"/>
    <w:rsid w:val="0EDD132F"/>
    <w:rsid w:val="0EEA70DA"/>
    <w:rsid w:val="0EF01A3D"/>
    <w:rsid w:val="0EFC1449"/>
    <w:rsid w:val="0F0062EE"/>
    <w:rsid w:val="0F0129B8"/>
    <w:rsid w:val="0F01483B"/>
    <w:rsid w:val="0F1A1619"/>
    <w:rsid w:val="0F212B53"/>
    <w:rsid w:val="0F261950"/>
    <w:rsid w:val="0F2A4442"/>
    <w:rsid w:val="0F347A32"/>
    <w:rsid w:val="0F52285C"/>
    <w:rsid w:val="0F537874"/>
    <w:rsid w:val="0F5E7EF4"/>
    <w:rsid w:val="0F6D666A"/>
    <w:rsid w:val="0F6E6B2F"/>
    <w:rsid w:val="0F7D1449"/>
    <w:rsid w:val="0F836781"/>
    <w:rsid w:val="0F861E7F"/>
    <w:rsid w:val="0F880CCD"/>
    <w:rsid w:val="0F8B7036"/>
    <w:rsid w:val="0FA27204"/>
    <w:rsid w:val="0FCC7E8C"/>
    <w:rsid w:val="0FD13033"/>
    <w:rsid w:val="0FD42BBE"/>
    <w:rsid w:val="0FDA011B"/>
    <w:rsid w:val="0FDA14A3"/>
    <w:rsid w:val="0FE0483E"/>
    <w:rsid w:val="0FF16D6E"/>
    <w:rsid w:val="0FF75BA9"/>
    <w:rsid w:val="10055D5C"/>
    <w:rsid w:val="101F0102"/>
    <w:rsid w:val="101F5CFB"/>
    <w:rsid w:val="10215A86"/>
    <w:rsid w:val="102F39D0"/>
    <w:rsid w:val="103069FE"/>
    <w:rsid w:val="10351EFD"/>
    <w:rsid w:val="10474712"/>
    <w:rsid w:val="104C44C7"/>
    <w:rsid w:val="1055034C"/>
    <w:rsid w:val="105838BC"/>
    <w:rsid w:val="106D622A"/>
    <w:rsid w:val="107009BA"/>
    <w:rsid w:val="107726BA"/>
    <w:rsid w:val="10934870"/>
    <w:rsid w:val="10A2451F"/>
    <w:rsid w:val="10A86D4C"/>
    <w:rsid w:val="10AD08A4"/>
    <w:rsid w:val="10B6640F"/>
    <w:rsid w:val="10BC5D25"/>
    <w:rsid w:val="10C84CEC"/>
    <w:rsid w:val="10CB1883"/>
    <w:rsid w:val="10D7328B"/>
    <w:rsid w:val="10E25B4B"/>
    <w:rsid w:val="10F14C34"/>
    <w:rsid w:val="10F75213"/>
    <w:rsid w:val="11002D11"/>
    <w:rsid w:val="11086722"/>
    <w:rsid w:val="111B1279"/>
    <w:rsid w:val="11351D5F"/>
    <w:rsid w:val="113952F4"/>
    <w:rsid w:val="113A12B5"/>
    <w:rsid w:val="114E22AD"/>
    <w:rsid w:val="1164627B"/>
    <w:rsid w:val="116828DD"/>
    <w:rsid w:val="116B797C"/>
    <w:rsid w:val="116E6512"/>
    <w:rsid w:val="1178026C"/>
    <w:rsid w:val="11852919"/>
    <w:rsid w:val="11A00F19"/>
    <w:rsid w:val="11A1059A"/>
    <w:rsid w:val="11D0683B"/>
    <w:rsid w:val="11DA2DAA"/>
    <w:rsid w:val="11EC7ADE"/>
    <w:rsid w:val="11F36F09"/>
    <w:rsid w:val="11F77B55"/>
    <w:rsid w:val="120E2FE5"/>
    <w:rsid w:val="121918C0"/>
    <w:rsid w:val="12247DDE"/>
    <w:rsid w:val="122E34EF"/>
    <w:rsid w:val="122F0540"/>
    <w:rsid w:val="122F62BD"/>
    <w:rsid w:val="123D756D"/>
    <w:rsid w:val="1251492F"/>
    <w:rsid w:val="125378E2"/>
    <w:rsid w:val="12622029"/>
    <w:rsid w:val="12737E2F"/>
    <w:rsid w:val="12771CE5"/>
    <w:rsid w:val="129B7448"/>
    <w:rsid w:val="12AE374B"/>
    <w:rsid w:val="12AF5E4D"/>
    <w:rsid w:val="12B50096"/>
    <w:rsid w:val="12B74046"/>
    <w:rsid w:val="12B909A8"/>
    <w:rsid w:val="12D92A04"/>
    <w:rsid w:val="12DF61FC"/>
    <w:rsid w:val="12EC5CFE"/>
    <w:rsid w:val="12F9680A"/>
    <w:rsid w:val="131A5915"/>
    <w:rsid w:val="133A154E"/>
    <w:rsid w:val="1353121E"/>
    <w:rsid w:val="135859B0"/>
    <w:rsid w:val="136365D6"/>
    <w:rsid w:val="13655354"/>
    <w:rsid w:val="13680BC7"/>
    <w:rsid w:val="137119C8"/>
    <w:rsid w:val="13761E0E"/>
    <w:rsid w:val="1378795A"/>
    <w:rsid w:val="13794084"/>
    <w:rsid w:val="137B4941"/>
    <w:rsid w:val="1382768E"/>
    <w:rsid w:val="138911AC"/>
    <w:rsid w:val="138A4681"/>
    <w:rsid w:val="138B6522"/>
    <w:rsid w:val="138F55DC"/>
    <w:rsid w:val="1396593A"/>
    <w:rsid w:val="13994E91"/>
    <w:rsid w:val="139963B0"/>
    <w:rsid w:val="139A04D9"/>
    <w:rsid w:val="13AA390F"/>
    <w:rsid w:val="13AB44E0"/>
    <w:rsid w:val="13AD5AED"/>
    <w:rsid w:val="13B25BEF"/>
    <w:rsid w:val="13C8795E"/>
    <w:rsid w:val="13CE3131"/>
    <w:rsid w:val="13DE611D"/>
    <w:rsid w:val="13E44841"/>
    <w:rsid w:val="13F35C86"/>
    <w:rsid w:val="13F36FEF"/>
    <w:rsid w:val="13FA5463"/>
    <w:rsid w:val="13FC0199"/>
    <w:rsid w:val="14120BAE"/>
    <w:rsid w:val="14156EE1"/>
    <w:rsid w:val="14182225"/>
    <w:rsid w:val="141B6A8B"/>
    <w:rsid w:val="142568D1"/>
    <w:rsid w:val="14290B35"/>
    <w:rsid w:val="14312DE4"/>
    <w:rsid w:val="14393724"/>
    <w:rsid w:val="143D2C33"/>
    <w:rsid w:val="143E6B14"/>
    <w:rsid w:val="144A2454"/>
    <w:rsid w:val="14656449"/>
    <w:rsid w:val="146D5D9B"/>
    <w:rsid w:val="146F0F16"/>
    <w:rsid w:val="1471338C"/>
    <w:rsid w:val="14843896"/>
    <w:rsid w:val="14866444"/>
    <w:rsid w:val="14892AEF"/>
    <w:rsid w:val="148C59DA"/>
    <w:rsid w:val="14947317"/>
    <w:rsid w:val="149A18FF"/>
    <w:rsid w:val="149B552C"/>
    <w:rsid w:val="14AF2550"/>
    <w:rsid w:val="14B9596D"/>
    <w:rsid w:val="14BA1C2F"/>
    <w:rsid w:val="14E646E1"/>
    <w:rsid w:val="14EB0ECA"/>
    <w:rsid w:val="1530208D"/>
    <w:rsid w:val="15314DA1"/>
    <w:rsid w:val="15325F4E"/>
    <w:rsid w:val="15367B1E"/>
    <w:rsid w:val="154210B7"/>
    <w:rsid w:val="15455713"/>
    <w:rsid w:val="1549069D"/>
    <w:rsid w:val="155400DC"/>
    <w:rsid w:val="1557022B"/>
    <w:rsid w:val="15572BA2"/>
    <w:rsid w:val="1559427D"/>
    <w:rsid w:val="155F1308"/>
    <w:rsid w:val="156B1277"/>
    <w:rsid w:val="15756474"/>
    <w:rsid w:val="157D3841"/>
    <w:rsid w:val="15927EE1"/>
    <w:rsid w:val="15A80226"/>
    <w:rsid w:val="15AB75BC"/>
    <w:rsid w:val="15AC5A7C"/>
    <w:rsid w:val="15B42506"/>
    <w:rsid w:val="15BB76F3"/>
    <w:rsid w:val="15D23374"/>
    <w:rsid w:val="15D46479"/>
    <w:rsid w:val="15D66E56"/>
    <w:rsid w:val="15DD2496"/>
    <w:rsid w:val="15EE0DF1"/>
    <w:rsid w:val="15EE7F72"/>
    <w:rsid w:val="15F039CC"/>
    <w:rsid w:val="15F74C86"/>
    <w:rsid w:val="15FB716B"/>
    <w:rsid w:val="15FD0FF0"/>
    <w:rsid w:val="16016943"/>
    <w:rsid w:val="161A30ED"/>
    <w:rsid w:val="161A7D1D"/>
    <w:rsid w:val="16281C2A"/>
    <w:rsid w:val="162A451F"/>
    <w:rsid w:val="1632302B"/>
    <w:rsid w:val="163A3EEB"/>
    <w:rsid w:val="16485A3C"/>
    <w:rsid w:val="164D74E2"/>
    <w:rsid w:val="165E168A"/>
    <w:rsid w:val="165F1929"/>
    <w:rsid w:val="165F1C0D"/>
    <w:rsid w:val="16611B15"/>
    <w:rsid w:val="166520A9"/>
    <w:rsid w:val="167A2AE2"/>
    <w:rsid w:val="168B05A2"/>
    <w:rsid w:val="169046CD"/>
    <w:rsid w:val="169A3C6F"/>
    <w:rsid w:val="169B11FB"/>
    <w:rsid w:val="169E600F"/>
    <w:rsid w:val="16A0784F"/>
    <w:rsid w:val="16A8133E"/>
    <w:rsid w:val="16AC5863"/>
    <w:rsid w:val="16B93C37"/>
    <w:rsid w:val="16BA23A0"/>
    <w:rsid w:val="16D65719"/>
    <w:rsid w:val="16DC2B1B"/>
    <w:rsid w:val="16E240F9"/>
    <w:rsid w:val="16EF691F"/>
    <w:rsid w:val="17096699"/>
    <w:rsid w:val="1718713A"/>
    <w:rsid w:val="17205633"/>
    <w:rsid w:val="173E5C39"/>
    <w:rsid w:val="17553C6F"/>
    <w:rsid w:val="17595BEA"/>
    <w:rsid w:val="175D1146"/>
    <w:rsid w:val="17653B37"/>
    <w:rsid w:val="176576BD"/>
    <w:rsid w:val="17714860"/>
    <w:rsid w:val="17781CF8"/>
    <w:rsid w:val="17897D9B"/>
    <w:rsid w:val="178D4CF2"/>
    <w:rsid w:val="17912701"/>
    <w:rsid w:val="179E5058"/>
    <w:rsid w:val="17BC7D6E"/>
    <w:rsid w:val="17C40BCC"/>
    <w:rsid w:val="17D419C2"/>
    <w:rsid w:val="17ED3797"/>
    <w:rsid w:val="17F4369E"/>
    <w:rsid w:val="17F628DA"/>
    <w:rsid w:val="17FA6FAA"/>
    <w:rsid w:val="1803540E"/>
    <w:rsid w:val="18096FEE"/>
    <w:rsid w:val="180A58EB"/>
    <w:rsid w:val="18125304"/>
    <w:rsid w:val="18250D59"/>
    <w:rsid w:val="18251E33"/>
    <w:rsid w:val="182A0B7A"/>
    <w:rsid w:val="18322FA6"/>
    <w:rsid w:val="18334A95"/>
    <w:rsid w:val="18345661"/>
    <w:rsid w:val="183B7C4B"/>
    <w:rsid w:val="18467E72"/>
    <w:rsid w:val="18576767"/>
    <w:rsid w:val="18582360"/>
    <w:rsid w:val="18672656"/>
    <w:rsid w:val="18696598"/>
    <w:rsid w:val="186D4F89"/>
    <w:rsid w:val="1870454E"/>
    <w:rsid w:val="18757B61"/>
    <w:rsid w:val="188F6E5F"/>
    <w:rsid w:val="18902052"/>
    <w:rsid w:val="18934324"/>
    <w:rsid w:val="18957391"/>
    <w:rsid w:val="18B13C3B"/>
    <w:rsid w:val="18B41065"/>
    <w:rsid w:val="18CA1FF6"/>
    <w:rsid w:val="18CF104A"/>
    <w:rsid w:val="18D20524"/>
    <w:rsid w:val="18D4075F"/>
    <w:rsid w:val="18D41FF4"/>
    <w:rsid w:val="18DF3ACC"/>
    <w:rsid w:val="18F23962"/>
    <w:rsid w:val="18FC10F5"/>
    <w:rsid w:val="18FE3064"/>
    <w:rsid w:val="18FE5EB8"/>
    <w:rsid w:val="19066F66"/>
    <w:rsid w:val="196D3535"/>
    <w:rsid w:val="19782C54"/>
    <w:rsid w:val="19787B10"/>
    <w:rsid w:val="197D304D"/>
    <w:rsid w:val="197E5784"/>
    <w:rsid w:val="19841A03"/>
    <w:rsid w:val="199350B9"/>
    <w:rsid w:val="19993499"/>
    <w:rsid w:val="19B70AE9"/>
    <w:rsid w:val="19C74B32"/>
    <w:rsid w:val="19D523E8"/>
    <w:rsid w:val="19DA2683"/>
    <w:rsid w:val="19DD06FC"/>
    <w:rsid w:val="19F00EB3"/>
    <w:rsid w:val="19F430B8"/>
    <w:rsid w:val="19FE1ED9"/>
    <w:rsid w:val="1A0B5206"/>
    <w:rsid w:val="1A2037BC"/>
    <w:rsid w:val="1A206C01"/>
    <w:rsid w:val="1A35678D"/>
    <w:rsid w:val="1A366A6D"/>
    <w:rsid w:val="1A3B2988"/>
    <w:rsid w:val="1A457F39"/>
    <w:rsid w:val="1A47664C"/>
    <w:rsid w:val="1A543516"/>
    <w:rsid w:val="1A5B0B3C"/>
    <w:rsid w:val="1A656C3D"/>
    <w:rsid w:val="1A727F2B"/>
    <w:rsid w:val="1A8A36AF"/>
    <w:rsid w:val="1AA974BB"/>
    <w:rsid w:val="1ABA5E07"/>
    <w:rsid w:val="1ABD6A85"/>
    <w:rsid w:val="1AC45278"/>
    <w:rsid w:val="1ACF4550"/>
    <w:rsid w:val="1ADF0F21"/>
    <w:rsid w:val="1AE23C81"/>
    <w:rsid w:val="1AE72C7D"/>
    <w:rsid w:val="1AEC4823"/>
    <w:rsid w:val="1AF12870"/>
    <w:rsid w:val="1B022248"/>
    <w:rsid w:val="1B0722B3"/>
    <w:rsid w:val="1B0831BD"/>
    <w:rsid w:val="1B0D6507"/>
    <w:rsid w:val="1B140FD3"/>
    <w:rsid w:val="1B18722D"/>
    <w:rsid w:val="1B2B3E41"/>
    <w:rsid w:val="1B323599"/>
    <w:rsid w:val="1B3A1B15"/>
    <w:rsid w:val="1B3C6959"/>
    <w:rsid w:val="1B4C04BE"/>
    <w:rsid w:val="1B582279"/>
    <w:rsid w:val="1B596CC1"/>
    <w:rsid w:val="1B6C61A5"/>
    <w:rsid w:val="1B6E3C31"/>
    <w:rsid w:val="1B6E4944"/>
    <w:rsid w:val="1B7C109E"/>
    <w:rsid w:val="1B7D7C17"/>
    <w:rsid w:val="1B8051DA"/>
    <w:rsid w:val="1B825A46"/>
    <w:rsid w:val="1B907F58"/>
    <w:rsid w:val="1B97334F"/>
    <w:rsid w:val="1BA96918"/>
    <w:rsid w:val="1BB646FD"/>
    <w:rsid w:val="1BB73A09"/>
    <w:rsid w:val="1BEE64AE"/>
    <w:rsid w:val="1BFE6442"/>
    <w:rsid w:val="1C117DA0"/>
    <w:rsid w:val="1C167F9D"/>
    <w:rsid w:val="1C1D3DDB"/>
    <w:rsid w:val="1C2A25C8"/>
    <w:rsid w:val="1C303853"/>
    <w:rsid w:val="1C350B37"/>
    <w:rsid w:val="1C3B3665"/>
    <w:rsid w:val="1C41786B"/>
    <w:rsid w:val="1C4510D3"/>
    <w:rsid w:val="1C516247"/>
    <w:rsid w:val="1C6C7EC7"/>
    <w:rsid w:val="1C732927"/>
    <w:rsid w:val="1C804594"/>
    <w:rsid w:val="1C933D29"/>
    <w:rsid w:val="1C950CA6"/>
    <w:rsid w:val="1C9556F3"/>
    <w:rsid w:val="1C965BA5"/>
    <w:rsid w:val="1CB671FC"/>
    <w:rsid w:val="1CC35F5C"/>
    <w:rsid w:val="1CD32BC4"/>
    <w:rsid w:val="1CFC29FE"/>
    <w:rsid w:val="1D190972"/>
    <w:rsid w:val="1D2864E3"/>
    <w:rsid w:val="1D290406"/>
    <w:rsid w:val="1D36101C"/>
    <w:rsid w:val="1D4905D7"/>
    <w:rsid w:val="1D4C4073"/>
    <w:rsid w:val="1D51197C"/>
    <w:rsid w:val="1D5579EF"/>
    <w:rsid w:val="1D5B609D"/>
    <w:rsid w:val="1D6030E0"/>
    <w:rsid w:val="1D621C18"/>
    <w:rsid w:val="1D6C1336"/>
    <w:rsid w:val="1D6F535A"/>
    <w:rsid w:val="1D742214"/>
    <w:rsid w:val="1D761E6A"/>
    <w:rsid w:val="1D7648CA"/>
    <w:rsid w:val="1D77706E"/>
    <w:rsid w:val="1D866E5D"/>
    <w:rsid w:val="1D883518"/>
    <w:rsid w:val="1D9060FA"/>
    <w:rsid w:val="1D92074F"/>
    <w:rsid w:val="1D9A1CA8"/>
    <w:rsid w:val="1DAD710D"/>
    <w:rsid w:val="1DB17029"/>
    <w:rsid w:val="1DB42C17"/>
    <w:rsid w:val="1DE91525"/>
    <w:rsid w:val="1DF765C4"/>
    <w:rsid w:val="1DF948B0"/>
    <w:rsid w:val="1DFF2471"/>
    <w:rsid w:val="1E0115EE"/>
    <w:rsid w:val="1E070484"/>
    <w:rsid w:val="1E103742"/>
    <w:rsid w:val="1E175E4F"/>
    <w:rsid w:val="1E2006FB"/>
    <w:rsid w:val="1E275A62"/>
    <w:rsid w:val="1E2B0EAC"/>
    <w:rsid w:val="1E4820E3"/>
    <w:rsid w:val="1E4C517A"/>
    <w:rsid w:val="1E66070C"/>
    <w:rsid w:val="1E777249"/>
    <w:rsid w:val="1E8B7E1A"/>
    <w:rsid w:val="1E92193B"/>
    <w:rsid w:val="1EA848BC"/>
    <w:rsid w:val="1EAB2A63"/>
    <w:rsid w:val="1EAC6088"/>
    <w:rsid w:val="1EB50972"/>
    <w:rsid w:val="1EB615EB"/>
    <w:rsid w:val="1EC11A01"/>
    <w:rsid w:val="1EC52110"/>
    <w:rsid w:val="1EE030D3"/>
    <w:rsid w:val="1EEE55A4"/>
    <w:rsid w:val="1EEF6C08"/>
    <w:rsid w:val="1EF06480"/>
    <w:rsid w:val="1F0E7D0A"/>
    <w:rsid w:val="1F2129BA"/>
    <w:rsid w:val="1F252CE3"/>
    <w:rsid w:val="1F337F61"/>
    <w:rsid w:val="1F3D4BC5"/>
    <w:rsid w:val="1F4041EE"/>
    <w:rsid w:val="1F426934"/>
    <w:rsid w:val="1F485079"/>
    <w:rsid w:val="1F5D0708"/>
    <w:rsid w:val="1F5E41C7"/>
    <w:rsid w:val="1F6A394E"/>
    <w:rsid w:val="1F724362"/>
    <w:rsid w:val="1F786C3D"/>
    <w:rsid w:val="1F7E46B0"/>
    <w:rsid w:val="1F822D13"/>
    <w:rsid w:val="1F8D5E30"/>
    <w:rsid w:val="1F9425CF"/>
    <w:rsid w:val="1F98160C"/>
    <w:rsid w:val="1F9B4381"/>
    <w:rsid w:val="1FA061A2"/>
    <w:rsid w:val="1FA62ED7"/>
    <w:rsid w:val="1FBE2CF1"/>
    <w:rsid w:val="1FBE7BC7"/>
    <w:rsid w:val="1FC46954"/>
    <w:rsid w:val="1FC511E1"/>
    <w:rsid w:val="1FCE1BE9"/>
    <w:rsid w:val="1FCF4CBE"/>
    <w:rsid w:val="1FD14407"/>
    <w:rsid w:val="1FEE1485"/>
    <w:rsid w:val="1FFB6F42"/>
    <w:rsid w:val="200574F5"/>
    <w:rsid w:val="2019009B"/>
    <w:rsid w:val="20243D0A"/>
    <w:rsid w:val="203A0315"/>
    <w:rsid w:val="2052001F"/>
    <w:rsid w:val="20630EC0"/>
    <w:rsid w:val="20726F60"/>
    <w:rsid w:val="20771F4E"/>
    <w:rsid w:val="208C6259"/>
    <w:rsid w:val="209079C1"/>
    <w:rsid w:val="20A05C71"/>
    <w:rsid w:val="20AA1FB7"/>
    <w:rsid w:val="20BA2D20"/>
    <w:rsid w:val="20C93A1B"/>
    <w:rsid w:val="20D0595E"/>
    <w:rsid w:val="20E77993"/>
    <w:rsid w:val="20EE41DB"/>
    <w:rsid w:val="21073B22"/>
    <w:rsid w:val="211643F9"/>
    <w:rsid w:val="211A3A04"/>
    <w:rsid w:val="212A76FA"/>
    <w:rsid w:val="2150436A"/>
    <w:rsid w:val="21556D4E"/>
    <w:rsid w:val="21682457"/>
    <w:rsid w:val="217B5985"/>
    <w:rsid w:val="218A2DD2"/>
    <w:rsid w:val="218F3D85"/>
    <w:rsid w:val="21A77263"/>
    <w:rsid w:val="21CF544C"/>
    <w:rsid w:val="21DB34E6"/>
    <w:rsid w:val="21DE6D0E"/>
    <w:rsid w:val="21E87369"/>
    <w:rsid w:val="21F05C14"/>
    <w:rsid w:val="21FA4D6D"/>
    <w:rsid w:val="22002006"/>
    <w:rsid w:val="22036FAE"/>
    <w:rsid w:val="22043573"/>
    <w:rsid w:val="2208762E"/>
    <w:rsid w:val="22117526"/>
    <w:rsid w:val="221448B0"/>
    <w:rsid w:val="223277AE"/>
    <w:rsid w:val="22354B40"/>
    <w:rsid w:val="22431A38"/>
    <w:rsid w:val="2276151E"/>
    <w:rsid w:val="22867D46"/>
    <w:rsid w:val="228C1A91"/>
    <w:rsid w:val="229846F6"/>
    <w:rsid w:val="22A81F93"/>
    <w:rsid w:val="22A94552"/>
    <w:rsid w:val="22AC4D90"/>
    <w:rsid w:val="22B076C3"/>
    <w:rsid w:val="22B45A2E"/>
    <w:rsid w:val="22B64D92"/>
    <w:rsid w:val="22BA19B5"/>
    <w:rsid w:val="22C17405"/>
    <w:rsid w:val="22CF2102"/>
    <w:rsid w:val="22DF4384"/>
    <w:rsid w:val="230A255E"/>
    <w:rsid w:val="2318001B"/>
    <w:rsid w:val="231849F2"/>
    <w:rsid w:val="23214739"/>
    <w:rsid w:val="232A289A"/>
    <w:rsid w:val="233539C5"/>
    <w:rsid w:val="23397E53"/>
    <w:rsid w:val="233F2383"/>
    <w:rsid w:val="23462EDC"/>
    <w:rsid w:val="235346DC"/>
    <w:rsid w:val="23545201"/>
    <w:rsid w:val="23564FDB"/>
    <w:rsid w:val="23581DEF"/>
    <w:rsid w:val="235E36CC"/>
    <w:rsid w:val="23633CBB"/>
    <w:rsid w:val="236E6597"/>
    <w:rsid w:val="237605F0"/>
    <w:rsid w:val="23847D96"/>
    <w:rsid w:val="238D0791"/>
    <w:rsid w:val="2397087C"/>
    <w:rsid w:val="23A61683"/>
    <w:rsid w:val="23E4372A"/>
    <w:rsid w:val="23EC11BE"/>
    <w:rsid w:val="23FB1F83"/>
    <w:rsid w:val="24020A90"/>
    <w:rsid w:val="24074EDB"/>
    <w:rsid w:val="240C0438"/>
    <w:rsid w:val="240E3C9E"/>
    <w:rsid w:val="2422270D"/>
    <w:rsid w:val="24227335"/>
    <w:rsid w:val="242A66F4"/>
    <w:rsid w:val="242A7707"/>
    <w:rsid w:val="2446026D"/>
    <w:rsid w:val="24491D94"/>
    <w:rsid w:val="244D3912"/>
    <w:rsid w:val="244F7B90"/>
    <w:rsid w:val="24545B73"/>
    <w:rsid w:val="24551C26"/>
    <w:rsid w:val="24611563"/>
    <w:rsid w:val="24714650"/>
    <w:rsid w:val="2471742E"/>
    <w:rsid w:val="247C75C2"/>
    <w:rsid w:val="24800B7D"/>
    <w:rsid w:val="24910D2E"/>
    <w:rsid w:val="249E18E5"/>
    <w:rsid w:val="249E24DB"/>
    <w:rsid w:val="24A12114"/>
    <w:rsid w:val="24AD1F43"/>
    <w:rsid w:val="24B77ED6"/>
    <w:rsid w:val="24BB56DE"/>
    <w:rsid w:val="24D9646A"/>
    <w:rsid w:val="24EB69E2"/>
    <w:rsid w:val="24EE312E"/>
    <w:rsid w:val="24F92F9C"/>
    <w:rsid w:val="25076C1A"/>
    <w:rsid w:val="25114F6A"/>
    <w:rsid w:val="25174245"/>
    <w:rsid w:val="25264725"/>
    <w:rsid w:val="252B3833"/>
    <w:rsid w:val="25333308"/>
    <w:rsid w:val="25362D0F"/>
    <w:rsid w:val="25461C21"/>
    <w:rsid w:val="25463A44"/>
    <w:rsid w:val="255974B9"/>
    <w:rsid w:val="256238E1"/>
    <w:rsid w:val="257D1BF0"/>
    <w:rsid w:val="258E58AF"/>
    <w:rsid w:val="25903B4A"/>
    <w:rsid w:val="259552AD"/>
    <w:rsid w:val="25A6209F"/>
    <w:rsid w:val="25B749EC"/>
    <w:rsid w:val="25C32B15"/>
    <w:rsid w:val="25DE64A8"/>
    <w:rsid w:val="25F66BBB"/>
    <w:rsid w:val="261718BD"/>
    <w:rsid w:val="261750D0"/>
    <w:rsid w:val="2617750C"/>
    <w:rsid w:val="261D3185"/>
    <w:rsid w:val="26231603"/>
    <w:rsid w:val="263B7F0D"/>
    <w:rsid w:val="263D3F6D"/>
    <w:rsid w:val="264551F1"/>
    <w:rsid w:val="26467E67"/>
    <w:rsid w:val="264B2756"/>
    <w:rsid w:val="264C51DB"/>
    <w:rsid w:val="264E2C54"/>
    <w:rsid w:val="26577AA7"/>
    <w:rsid w:val="265F2253"/>
    <w:rsid w:val="265F4270"/>
    <w:rsid w:val="26677B5B"/>
    <w:rsid w:val="266825F3"/>
    <w:rsid w:val="26685237"/>
    <w:rsid w:val="2671226B"/>
    <w:rsid w:val="268070FF"/>
    <w:rsid w:val="2684172C"/>
    <w:rsid w:val="268462E6"/>
    <w:rsid w:val="268B6564"/>
    <w:rsid w:val="268E3145"/>
    <w:rsid w:val="26A15F10"/>
    <w:rsid w:val="26A57B40"/>
    <w:rsid w:val="26BB6305"/>
    <w:rsid w:val="26BE72FA"/>
    <w:rsid w:val="26C55513"/>
    <w:rsid w:val="26CA43E8"/>
    <w:rsid w:val="26CC50A5"/>
    <w:rsid w:val="26D22206"/>
    <w:rsid w:val="26DC0BA1"/>
    <w:rsid w:val="26E5443C"/>
    <w:rsid w:val="26EA0545"/>
    <w:rsid w:val="26F07646"/>
    <w:rsid w:val="27004595"/>
    <w:rsid w:val="27015DE6"/>
    <w:rsid w:val="270F64EC"/>
    <w:rsid w:val="272165CD"/>
    <w:rsid w:val="272843FC"/>
    <w:rsid w:val="27286481"/>
    <w:rsid w:val="272C146C"/>
    <w:rsid w:val="2737715E"/>
    <w:rsid w:val="273B6F20"/>
    <w:rsid w:val="273D4010"/>
    <w:rsid w:val="276D0DE6"/>
    <w:rsid w:val="277D015C"/>
    <w:rsid w:val="278468DD"/>
    <w:rsid w:val="27852B5C"/>
    <w:rsid w:val="27A54003"/>
    <w:rsid w:val="27AA37F2"/>
    <w:rsid w:val="27C33F06"/>
    <w:rsid w:val="27C52807"/>
    <w:rsid w:val="27C64F56"/>
    <w:rsid w:val="27CE5DB4"/>
    <w:rsid w:val="27CE653A"/>
    <w:rsid w:val="27D22D5E"/>
    <w:rsid w:val="27E33A63"/>
    <w:rsid w:val="27E61942"/>
    <w:rsid w:val="27E94D5F"/>
    <w:rsid w:val="27EC00B8"/>
    <w:rsid w:val="27FD24A0"/>
    <w:rsid w:val="28161482"/>
    <w:rsid w:val="281D6322"/>
    <w:rsid w:val="28273EC9"/>
    <w:rsid w:val="28326B29"/>
    <w:rsid w:val="28366E15"/>
    <w:rsid w:val="283907BC"/>
    <w:rsid w:val="283A09F7"/>
    <w:rsid w:val="2840569B"/>
    <w:rsid w:val="28680289"/>
    <w:rsid w:val="28761522"/>
    <w:rsid w:val="287F0A03"/>
    <w:rsid w:val="288C79C6"/>
    <w:rsid w:val="28901A34"/>
    <w:rsid w:val="28AB60F5"/>
    <w:rsid w:val="28B07A04"/>
    <w:rsid w:val="28B5472C"/>
    <w:rsid w:val="28B64C11"/>
    <w:rsid w:val="28BA3D7C"/>
    <w:rsid w:val="28D712DC"/>
    <w:rsid w:val="28D96010"/>
    <w:rsid w:val="28DC774D"/>
    <w:rsid w:val="28DE2149"/>
    <w:rsid w:val="28F84181"/>
    <w:rsid w:val="290E6B63"/>
    <w:rsid w:val="291446E2"/>
    <w:rsid w:val="292C2FA1"/>
    <w:rsid w:val="29321497"/>
    <w:rsid w:val="29326325"/>
    <w:rsid w:val="29343797"/>
    <w:rsid w:val="2934474A"/>
    <w:rsid w:val="294826A6"/>
    <w:rsid w:val="29633F9F"/>
    <w:rsid w:val="296F007D"/>
    <w:rsid w:val="29774B8C"/>
    <w:rsid w:val="297E4F5F"/>
    <w:rsid w:val="29851902"/>
    <w:rsid w:val="29A46676"/>
    <w:rsid w:val="29A83AA7"/>
    <w:rsid w:val="29A869E2"/>
    <w:rsid w:val="29AB757D"/>
    <w:rsid w:val="29AE1B13"/>
    <w:rsid w:val="29AE1BCB"/>
    <w:rsid w:val="29B11BAC"/>
    <w:rsid w:val="29B70D74"/>
    <w:rsid w:val="29CD1070"/>
    <w:rsid w:val="29D314AC"/>
    <w:rsid w:val="29F36C5B"/>
    <w:rsid w:val="29F718AC"/>
    <w:rsid w:val="2A00422C"/>
    <w:rsid w:val="2A0300FB"/>
    <w:rsid w:val="2A06070C"/>
    <w:rsid w:val="2A066BE9"/>
    <w:rsid w:val="2A197D32"/>
    <w:rsid w:val="2A1F7226"/>
    <w:rsid w:val="2A456D4E"/>
    <w:rsid w:val="2A4929F2"/>
    <w:rsid w:val="2A4A5D31"/>
    <w:rsid w:val="2A5462A8"/>
    <w:rsid w:val="2A547EA9"/>
    <w:rsid w:val="2A6732D5"/>
    <w:rsid w:val="2A674E33"/>
    <w:rsid w:val="2A7271AD"/>
    <w:rsid w:val="2A794A90"/>
    <w:rsid w:val="2A7A2F69"/>
    <w:rsid w:val="2A87465F"/>
    <w:rsid w:val="2A896DF9"/>
    <w:rsid w:val="2A8F12E0"/>
    <w:rsid w:val="2A924D25"/>
    <w:rsid w:val="2AA21D7C"/>
    <w:rsid w:val="2AB73ED4"/>
    <w:rsid w:val="2ABA5703"/>
    <w:rsid w:val="2AC63D74"/>
    <w:rsid w:val="2AD22AC0"/>
    <w:rsid w:val="2AD932B5"/>
    <w:rsid w:val="2AFA396C"/>
    <w:rsid w:val="2B0323FC"/>
    <w:rsid w:val="2B0B4E89"/>
    <w:rsid w:val="2B0C5788"/>
    <w:rsid w:val="2B1064EE"/>
    <w:rsid w:val="2B174FF7"/>
    <w:rsid w:val="2B1B6EA5"/>
    <w:rsid w:val="2B273448"/>
    <w:rsid w:val="2B3E195C"/>
    <w:rsid w:val="2B495694"/>
    <w:rsid w:val="2B6E02DA"/>
    <w:rsid w:val="2B6E270F"/>
    <w:rsid w:val="2B7C27DA"/>
    <w:rsid w:val="2B7E1699"/>
    <w:rsid w:val="2B87469E"/>
    <w:rsid w:val="2B8D07B0"/>
    <w:rsid w:val="2B954FAB"/>
    <w:rsid w:val="2B984984"/>
    <w:rsid w:val="2B9F1982"/>
    <w:rsid w:val="2BAC5E6D"/>
    <w:rsid w:val="2BB3072F"/>
    <w:rsid w:val="2BC3468F"/>
    <w:rsid w:val="2BD60479"/>
    <w:rsid w:val="2BDB7943"/>
    <w:rsid w:val="2BE31C9D"/>
    <w:rsid w:val="2BE37AEA"/>
    <w:rsid w:val="2BE930BD"/>
    <w:rsid w:val="2BF03130"/>
    <w:rsid w:val="2BF7772B"/>
    <w:rsid w:val="2BFA7D70"/>
    <w:rsid w:val="2C0D7153"/>
    <w:rsid w:val="2C251178"/>
    <w:rsid w:val="2C29457D"/>
    <w:rsid w:val="2C543EE1"/>
    <w:rsid w:val="2C5915D6"/>
    <w:rsid w:val="2C6246AB"/>
    <w:rsid w:val="2C703C70"/>
    <w:rsid w:val="2C84477D"/>
    <w:rsid w:val="2C852598"/>
    <w:rsid w:val="2C88537F"/>
    <w:rsid w:val="2C890A9C"/>
    <w:rsid w:val="2C89601C"/>
    <w:rsid w:val="2C9D6AB5"/>
    <w:rsid w:val="2CA06F9C"/>
    <w:rsid w:val="2CA26F5A"/>
    <w:rsid w:val="2CA7435E"/>
    <w:rsid w:val="2CAD6BF4"/>
    <w:rsid w:val="2CB87078"/>
    <w:rsid w:val="2CC44E6F"/>
    <w:rsid w:val="2CC654E3"/>
    <w:rsid w:val="2CC73C9A"/>
    <w:rsid w:val="2CCA7FCC"/>
    <w:rsid w:val="2CDB448C"/>
    <w:rsid w:val="2CDD004B"/>
    <w:rsid w:val="2CE4211C"/>
    <w:rsid w:val="2D0A5A06"/>
    <w:rsid w:val="2D0C7DDE"/>
    <w:rsid w:val="2D172378"/>
    <w:rsid w:val="2D3834BD"/>
    <w:rsid w:val="2D4244AE"/>
    <w:rsid w:val="2D451342"/>
    <w:rsid w:val="2D517079"/>
    <w:rsid w:val="2D593ECE"/>
    <w:rsid w:val="2D5A4968"/>
    <w:rsid w:val="2D6B0EB8"/>
    <w:rsid w:val="2D6E56DD"/>
    <w:rsid w:val="2D7135C9"/>
    <w:rsid w:val="2D790559"/>
    <w:rsid w:val="2D8E11A7"/>
    <w:rsid w:val="2D9855E4"/>
    <w:rsid w:val="2DA979DF"/>
    <w:rsid w:val="2DB11966"/>
    <w:rsid w:val="2DBE1826"/>
    <w:rsid w:val="2DE22190"/>
    <w:rsid w:val="2DE37424"/>
    <w:rsid w:val="2E0A533C"/>
    <w:rsid w:val="2E115A7A"/>
    <w:rsid w:val="2E120855"/>
    <w:rsid w:val="2E1B7B98"/>
    <w:rsid w:val="2E270597"/>
    <w:rsid w:val="2E2A154C"/>
    <w:rsid w:val="2E2F7F07"/>
    <w:rsid w:val="2E366A65"/>
    <w:rsid w:val="2E49599A"/>
    <w:rsid w:val="2E5774B9"/>
    <w:rsid w:val="2E5B026E"/>
    <w:rsid w:val="2E5D51F1"/>
    <w:rsid w:val="2E7818BC"/>
    <w:rsid w:val="2E8644A9"/>
    <w:rsid w:val="2E8E2096"/>
    <w:rsid w:val="2E8E3ED1"/>
    <w:rsid w:val="2E8E579A"/>
    <w:rsid w:val="2E9772AD"/>
    <w:rsid w:val="2EB14314"/>
    <w:rsid w:val="2EB5503C"/>
    <w:rsid w:val="2EB74960"/>
    <w:rsid w:val="2EB816EB"/>
    <w:rsid w:val="2EC8155C"/>
    <w:rsid w:val="2EC875ED"/>
    <w:rsid w:val="2ECB7B2B"/>
    <w:rsid w:val="2ED60FDD"/>
    <w:rsid w:val="2EF150E1"/>
    <w:rsid w:val="2EF81139"/>
    <w:rsid w:val="2EFC043C"/>
    <w:rsid w:val="2EFD2169"/>
    <w:rsid w:val="2F030801"/>
    <w:rsid w:val="2F067934"/>
    <w:rsid w:val="2F0900DD"/>
    <w:rsid w:val="2F0F1927"/>
    <w:rsid w:val="2F0F6801"/>
    <w:rsid w:val="2F135BE6"/>
    <w:rsid w:val="2F180E9E"/>
    <w:rsid w:val="2F494EA9"/>
    <w:rsid w:val="2F6C04B6"/>
    <w:rsid w:val="2F6D07D4"/>
    <w:rsid w:val="2F7B779B"/>
    <w:rsid w:val="2F837B0A"/>
    <w:rsid w:val="2F9A3902"/>
    <w:rsid w:val="2F9E1B24"/>
    <w:rsid w:val="2FAA704F"/>
    <w:rsid w:val="2FB5147B"/>
    <w:rsid w:val="2FBF2763"/>
    <w:rsid w:val="2FD41D74"/>
    <w:rsid w:val="2FD64A1A"/>
    <w:rsid w:val="2FD75BB3"/>
    <w:rsid w:val="2FE11FA8"/>
    <w:rsid w:val="2FE43515"/>
    <w:rsid w:val="2FFE736F"/>
    <w:rsid w:val="300815C8"/>
    <w:rsid w:val="301B5E97"/>
    <w:rsid w:val="303F46DE"/>
    <w:rsid w:val="304E5615"/>
    <w:rsid w:val="30522597"/>
    <w:rsid w:val="305D318F"/>
    <w:rsid w:val="30715484"/>
    <w:rsid w:val="307B0995"/>
    <w:rsid w:val="307B344F"/>
    <w:rsid w:val="307C720B"/>
    <w:rsid w:val="30891F2E"/>
    <w:rsid w:val="308D3B95"/>
    <w:rsid w:val="308E209F"/>
    <w:rsid w:val="30A45A97"/>
    <w:rsid w:val="30B45EAC"/>
    <w:rsid w:val="30C20D80"/>
    <w:rsid w:val="30C80F56"/>
    <w:rsid w:val="30CA6987"/>
    <w:rsid w:val="31023548"/>
    <w:rsid w:val="310D07E2"/>
    <w:rsid w:val="31170967"/>
    <w:rsid w:val="31482765"/>
    <w:rsid w:val="31531367"/>
    <w:rsid w:val="31613C06"/>
    <w:rsid w:val="316671AC"/>
    <w:rsid w:val="318417AE"/>
    <w:rsid w:val="31850CB3"/>
    <w:rsid w:val="319858A1"/>
    <w:rsid w:val="31A278EC"/>
    <w:rsid w:val="31BB3AC5"/>
    <w:rsid w:val="31D44A83"/>
    <w:rsid w:val="31E51713"/>
    <w:rsid w:val="31E84E03"/>
    <w:rsid w:val="32093AAE"/>
    <w:rsid w:val="320C7227"/>
    <w:rsid w:val="32151B2D"/>
    <w:rsid w:val="321A0C19"/>
    <w:rsid w:val="321C7D8A"/>
    <w:rsid w:val="32274BD7"/>
    <w:rsid w:val="322C7AA0"/>
    <w:rsid w:val="32392160"/>
    <w:rsid w:val="324540E9"/>
    <w:rsid w:val="325042B7"/>
    <w:rsid w:val="32512043"/>
    <w:rsid w:val="32531638"/>
    <w:rsid w:val="326018AE"/>
    <w:rsid w:val="32680E3F"/>
    <w:rsid w:val="32845712"/>
    <w:rsid w:val="32905C16"/>
    <w:rsid w:val="32A00534"/>
    <w:rsid w:val="32AA3D75"/>
    <w:rsid w:val="32AB3CE6"/>
    <w:rsid w:val="32C340C7"/>
    <w:rsid w:val="32E03F02"/>
    <w:rsid w:val="32F5541C"/>
    <w:rsid w:val="32F83B93"/>
    <w:rsid w:val="330C00BD"/>
    <w:rsid w:val="33150644"/>
    <w:rsid w:val="3315695F"/>
    <w:rsid w:val="331A7D95"/>
    <w:rsid w:val="332F6AEA"/>
    <w:rsid w:val="33404478"/>
    <w:rsid w:val="334453E2"/>
    <w:rsid w:val="3350206D"/>
    <w:rsid w:val="33545E25"/>
    <w:rsid w:val="3356192D"/>
    <w:rsid w:val="336122E1"/>
    <w:rsid w:val="3363171D"/>
    <w:rsid w:val="336C5118"/>
    <w:rsid w:val="337A3A61"/>
    <w:rsid w:val="338D3696"/>
    <w:rsid w:val="33A93F37"/>
    <w:rsid w:val="33AF0B07"/>
    <w:rsid w:val="33BF6413"/>
    <w:rsid w:val="33C15C82"/>
    <w:rsid w:val="33CE6B6B"/>
    <w:rsid w:val="33D33F08"/>
    <w:rsid w:val="33EA35C9"/>
    <w:rsid w:val="33F53AB6"/>
    <w:rsid w:val="33F55013"/>
    <w:rsid w:val="33FD0186"/>
    <w:rsid w:val="34025FD1"/>
    <w:rsid w:val="34042B2C"/>
    <w:rsid w:val="34057C0D"/>
    <w:rsid w:val="340C751A"/>
    <w:rsid w:val="34187AD8"/>
    <w:rsid w:val="34334039"/>
    <w:rsid w:val="34344E11"/>
    <w:rsid w:val="34354377"/>
    <w:rsid w:val="34371BF5"/>
    <w:rsid w:val="34405134"/>
    <w:rsid w:val="344F488A"/>
    <w:rsid w:val="34542D00"/>
    <w:rsid w:val="345B6D59"/>
    <w:rsid w:val="345C4863"/>
    <w:rsid w:val="345F0D9A"/>
    <w:rsid w:val="34627212"/>
    <w:rsid w:val="34655F6E"/>
    <w:rsid w:val="34762352"/>
    <w:rsid w:val="34966998"/>
    <w:rsid w:val="34A10F46"/>
    <w:rsid w:val="34A80B79"/>
    <w:rsid w:val="34AA0CF0"/>
    <w:rsid w:val="34CF6F71"/>
    <w:rsid w:val="34D85550"/>
    <w:rsid w:val="34F23B43"/>
    <w:rsid w:val="34F357DA"/>
    <w:rsid w:val="34FA2FA2"/>
    <w:rsid w:val="35006768"/>
    <w:rsid w:val="350376D1"/>
    <w:rsid w:val="3516057D"/>
    <w:rsid w:val="351B613F"/>
    <w:rsid w:val="352623A7"/>
    <w:rsid w:val="352A3B8E"/>
    <w:rsid w:val="354F0C24"/>
    <w:rsid w:val="35554ABF"/>
    <w:rsid w:val="356A7342"/>
    <w:rsid w:val="35864751"/>
    <w:rsid w:val="35887CD3"/>
    <w:rsid w:val="358E6331"/>
    <w:rsid w:val="35A527A3"/>
    <w:rsid w:val="35AE0215"/>
    <w:rsid w:val="35B341B9"/>
    <w:rsid w:val="35C412EE"/>
    <w:rsid w:val="35CC1CFB"/>
    <w:rsid w:val="35CE6181"/>
    <w:rsid w:val="35F97533"/>
    <w:rsid w:val="35FA131D"/>
    <w:rsid w:val="35FD0814"/>
    <w:rsid w:val="36000A3F"/>
    <w:rsid w:val="360E4729"/>
    <w:rsid w:val="361D7115"/>
    <w:rsid w:val="36262826"/>
    <w:rsid w:val="363114A3"/>
    <w:rsid w:val="363A136D"/>
    <w:rsid w:val="3653328A"/>
    <w:rsid w:val="365C430D"/>
    <w:rsid w:val="36610D23"/>
    <w:rsid w:val="3674242B"/>
    <w:rsid w:val="368F41E4"/>
    <w:rsid w:val="36963414"/>
    <w:rsid w:val="369A55A4"/>
    <w:rsid w:val="36C25923"/>
    <w:rsid w:val="36CC389D"/>
    <w:rsid w:val="36CD140F"/>
    <w:rsid w:val="36E968CD"/>
    <w:rsid w:val="36EF1F2F"/>
    <w:rsid w:val="36F329C4"/>
    <w:rsid w:val="36FB38DD"/>
    <w:rsid w:val="36FF4503"/>
    <w:rsid w:val="370E34E0"/>
    <w:rsid w:val="37193781"/>
    <w:rsid w:val="371C779B"/>
    <w:rsid w:val="37271A21"/>
    <w:rsid w:val="37320B4C"/>
    <w:rsid w:val="373B1F79"/>
    <w:rsid w:val="373B664A"/>
    <w:rsid w:val="374A30D2"/>
    <w:rsid w:val="374C6EC5"/>
    <w:rsid w:val="37573C81"/>
    <w:rsid w:val="375C648A"/>
    <w:rsid w:val="37791449"/>
    <w:rsid w:val="377B2795"/>
    <w:rsid w:val="377B4A4F"/>
    <w:rsid w:val="37826ECA"/>
    <w:rsid w:val="37841B02"/>
    <w:rsid w:val="379C1908"/>
    <w:rsid w:val="37A35FE6"/>
    <w:rsid w:val="37CA35F5"/>
    <w:rsid w:val="37CF4501"/>
    <w:rsid w:val="37D66B60"/>
    <w:rsid w:val="37D971F4"/>
    <w:rsid w:val="37F14528"/>
    <w:rsid w:val="37FA3A8B"/>
    <w:rsid w:val="37FB5E82"/>
    <w:rsid w:val="37FD4516"/>
    <w:rsid w:val="383409E5"/>
    <w:rsid w:val="383A41BE"/>
    <w:rsid w:val="384127C0"/>
    <w:rsid w:val="38420E9B"/>
    <w:rsid w:val="38445544"/>
    <w:rsid w:val="38446F49"/>
    <w:rsid w:val="38470F3E"/>
    <w:rsid w:val="384D29D9"/>
    <w:rsid w:val="384E16EB"/>
    <w:rsid w:val="385143BB"/>
    <w:rsid w:val="385A26E5"/>
    <w:rsid w:val="385D0CC1"/>
    <w:rsid w:val="386C3D98"/>
    <w:rsid w:val="38793EAF"/>
    <w:rsid w:val="38840C76"/>
    <w:rsid w:val="388C055B"/>
    <w:rsid w:val="388E53C6"/>
    <w:rsid w:val="389A283B"/>
    <w:rsid w:val="389C7888"/>
    <w:rsid w:val="389D0278"/>
    <w:rsid w:val="38A42853"/>
    <w:rsid w:val="38AD664C"/>
    <w:rsid w:val="38AF37A3"/>
    <w:rsid w:val="38B015E5"/>
    <w:rsid w:val="38BF6A94"/>
    <w:rsid w:val="38C23C88"/>
    <w:rsid w:val="38C5469D"/>
    <w:rsid w:val="38D04EDF"/>
    <w:rsid w:val="38D10FCA"/>
    <w:rsid w:val="38E236CB"/>
    <w:rsid w:val="38E277C1"/>
    <w:rsid w:val="38EF036C"/>
    <w:rsid w:val="38F14520"/>
    <w:rsid w:val="38F26CE8"/>
    <w:rsid w:val="38F937CA"/>
    <w:rsid w:val="3901547C"/>
    <w:rsid w:val="39053D9D"/>
    <w:rsid w:val="39206819"/>
    <w:rsid w:val="3922232F"/>
    <w:rsid w:val="392A3BA1"/>
    <w:rsid w:val="392B25C5"/>
    <w:rsid w:val="392C4931"/>
    <w:rsid w:val="392E431E"/>
    <w:rsid w:val="39386D26"/>
    <w:rsid w:val="393F36D4"/>
    <w:rsid w:val="3943071B"/>
    <w:rsid w:val="3943593F"/>
    <w:rsid w:val="394C4086"/>
    <w:rsid w:val="395A5199"/>
    <w:rsid w:val="395E5345"/>
    <w:rsid w:val="39612DAB"/>
    <w:rsid w:val="3979027B"/>
    <w:rsid w:val="39B251B3"/>
    <w:rsid w:val="39B37F32"/>
    <w:rsid w:val="39B7030E"/>
    <w:rsid w:val="39CE0EF0"/>
    <w:rsid w:val="39F621A9"/>
    <w:rsid w:val="3A147BED"/>
    <w:rsid w:val="3A1D171F"/>
    <w:rsid w:val="3A1D5EB4"/>
    <w:rsid w:val="3A2D77FD"/>
    <w:rsid w:val="3A307F7A"/>
    <w:rsid w:val="3A3149FA"/>
    <w:rsid w:val="3A393405"/>
    <w:rsid w:val="3A3E556B"/>
    <w:rsid w:val="3A647753"/>
    <w:rsid w:val="3A6B0913"/>
    <w:rsid w:val="3A762D9F"/>
    <w:rsid w:val="3A766C25"/>
    <w:rsid w:val="3A7725EC"/>
    <w:rsid w:val="3A8276A5"/>
    <w:rsid w:val="3A8B6DF2"/>
    <w:rsid w:val="3AA957A2"/>
    <w:rsid w:val="3AB32C73"/>
    <w:rsid w:val="3ABC3186"/>
    <w:rsid w:val="3AC730A9"/>
    <w:rsid w:val="3AD410BA"/>
    <w:rsid w:val="3AD976B0"/>
    <w:rsid w:val="3AE447EA"/>
    <w:rsid w:val="3AE97E01"/>
    <w:rsid w:val="3AEE77F8"/>
    <w:rsid w:val="3AF02371"/>
    <w:rsid w:val="3B094F84"/>
    <w:rsid w:val="3B1064D1"/>
    <w:rsid w:val="3B210E07"/>
    <w:rsid w:val="3B2371FD"/>
    <w:rsid w:val="3B24401A"/>
    <w:rsid w:val="3B264116"/>
    <w:rsid w:val="3B2E75C0"/>
    <w:rsid w:val="3B312B2A"/>
    <w:rsid w:val="3B375670"/>
    <w:rsid w:val="3B57424A"/>
    <w:rsid w:val="3B601E4F"/>
    <w:rsid w:val="3B632BDB"/>
    <w:rsid w:val="3B6A402B"/>
    <w:rsid w:val="3B6F51FF"/>
    <w:rsid w:val="3B877904"/>
    <w:rsid w:val="3B913D1A"/>
    <w:rsid w:val="3B9563B4"/>
    <w:rsid w:val="3BAD6BBF"/>
    <w:rsid w:val="3BBC1C6F"/>
    <w:rsid w:val="3BBE22DC"/>
    <w:rsid w:val="3BC07E66"/>
    <w:rsid w:val="3BC73CC7"/>
    <w:rsid w:val="3BCA46E3"/>
    <w:rsid w:val="3BCF199C"/>
    <w:rsid w:val="3C2C049D"/>
    <w:rsid w:val="3C3145FE"/>
    <w:rsid w:val="3C4102C7"/>
    <w:rsid w:val="3C486C0F"/>
    <w:rsid w:val="3C5361E5"/>
    <w:rsid w:val="3C5841EE"/>
    <w:rsid w:val="3C5D1601"/>
    <w:rsid w:val="3C5F500E"/>
    <w:rsid w:val="3C7F3430"/>
    <w:rsid w:val="3C8555B1"/>
    <w:rsid w:val="3C8714A1"/>
    <w:rsid w:val="3C9E23F6"/>
    <w:rsid w:val="3CA46CD9"/>
    <w:rsid w:val="3CAA5CF8"/>
    <w:rsid w:val="3CB00E2A"/>
    <w:rsid w:val="3CBD390C"/>
    <w:rsid w:val="3CC41590"/>
    <w:rsid w:val="3CCA7875"/>
    <w:rsid w:val="3CD1645F"/>
    <w:rsid w:val="3CD36109"/>
    <w:rsid w:val="3CE15744"/>
    <w:rsid w:val="3CE63586"/>
    <w:rsid w:val="3CED419E"/>
    <w:rsid w:val="3CEF6CE5"/>
    <w:rsid w:val="3CF473F1"/>
    <w:rsid w:val="3CF76757"/>
    <w:rsid w:val="3D0B15C7"/>
    <w:rsid w:val="3D1553FF"/>
    <w:rsid w:val="3D1A2A15"/>
    <w:rsid w:val="3D1A62C3"/>
    <w:rsid w:val="3D1D200D"/>
    <w:rsid w:val="3D247BD9"/>
    <w:rsid w:val="3D2A26C0"/>
    <w:rsid w:val="3D312A65"/>
    <w:rsid w:val="3D3D3573"/>
    <w:rsid w:val="3D4677F6"/>
    <w:rsid w:val="3D492A84"/>
    <w:rsid w:val="3D4A4129"/>
    <w:rsid w:val="3D4E68F4"/>
    <w:rsid w:val="3D65150D"/>
    <w:rsid w:val="3D6A5A17"/>
    <w:rsid w:val="3D75111C"/>
    <w:rsid w:val="3D783ADE"/>
    <w:rsid w:val="3D826F0A"/>
    <w:rsid w:val="3D852B1C"/>
    <w:rsid w:val="3D9D2953"/>
    <w:rsid w:val="3DA05CBA"/>
    <w:rsid w:val="3DA76BF5"/>
    <w:rsid w:val="3DAE76BE"/>
    <w:rsid w:val="3DC145CF"/>
    <w:rsid w:val="3DC4208A"/>
    <w:rsid w:val="3DC83690"/>
    <w:rsid w:val="3DF77858"/>
    <w:rsid w:val="3E041147"/>
    <w:rsid w:val="3E170B09"/>
    <w:rsid w:val="3E315521"/>
    <w:rsid w:val="3E3E4520"/>
    <w:rsid w:val="3E4D667A"/>
    <w:rsid w:val="3E52245E"/>
    <w:rsid w:val="3E562E79"/>
    <w:rsid w:val="3E584C2B"/>
    <w:rsid w:val="3E5D0D16"/>
    <w:rsid w:val="3E673422"/>
    <w:rsid w:val="3E6A00B7"/>
    <w:rsid w:val="3E6B71D7"/>
    <w:rsid w:val="3E6F0801"/>
    <w:rsid w:val="3E753A43"/>
    <w:rsid w:val="3E75720E"/>
    <w:rsid w:val="3E84304B"/>
    <w:rsid w:val="3E8B706D"/>
    <w:rsid w:val="3E987B51"/>
    <w:rsid w:val="3E9D5B3A"/>
    <w:rsid w:val="3E9F5DA6"/>
    <w:rsid w:val="3EC76BE1"/>
    <w:rsid w:val="3EC930B5"/>
    <w:rsid w:val="3ECA0136"/>
    <w:rsid w:val="3ED1091A"/>
    <w:rsid w:val="3ED20AE4"/>
    <w:rsid w:val="3EE6357D"/>
    <w:rsid w:val="3EE91C99"/>
    <w:rsid w:val="3EF55480"/>
    <w:rsid w:val="3EF86040"/>
    <w:rsid w:val="3EFA493C"/>
    <w:rsid w:val="3EFB5FCD"/>
    <w:rsid w:val="3F002449"/>
    <w:rsid w:val="3F081246"/>
    <w:rsid w:val="3F1C32FD"/>
    <w:rsid w:val="3F2307FE"/>
    <w:rsid w:val="3F2A4E35"/>
    <w:rsid w:val="3F2B0150"/>
    <w:rsid w:val="3F3517D4"/>
    <w:rsid w:val="3F380792"/>
    <w:rsid w:val="3F3B77E4"/>
    <w:rsid w:val="3F4A134E"/>
    <w:rsid w:val="3F5760C7"/>
    <w:rsid w:val="3F596D2F"/>
    <w:rsid w:val="3F5D661D"/>
    <w:rsid w:val="3F6B6CCB"/>
    <w:rsid w:val="3F6F4FE9"/>
    <w:rsid w:val="3FCC5137"/>
    <w:rsid w:val="3FD413F5"/>
    <w:rsid w:val="3FE82EAE"/>
    <w:rsid w:val="3FEF1C7F"/>
    <w:rsid w:val="3FF116BA"/>
    <w:rsid w:val="3FF86E57"/>
    <w:rsid w:val="3FFA0856"/>
    <w:rsid w:val="4000121C"/>
    <w:rsid w:val="40027D53"/>
    <w:rsid w:val="40230D95"/>
    <w:rsid w:val="402828BD"/>
    <w:rsid w:val="40310477"/>
    <w:rsid w:val="403611CD"/>
    <w:rsid w:val="403F15F9"/>
    <w:rsid w:val="404D6E46"/>
    <w:rsid w:val="40512A54"/>
    <w:rsid w:val="40591FEA"/>
    <w:rsid w:val="406D6E42"/>
    <w:rsid w:val="408B7952"/>
    <w:rsid w:val="40A00627"/>
    <w:rsid w:val="40A44F3B"/>
    <w:rsid w:val="40C005E1"/>
    <w:rsid w:val="40C96384"/>
    <w:rsid w:val="40F0351E"/>
    <w:rsid w:val="40FC79A4"/>
    <w:rsid w:val="4102228C"/>
    <w:rsid w:val="410667BF"/>
    <w:rsid w:val="411343B1"/>
    <w:rsid w:val="41204BFB"/>
    <w:rsid w:val="412722AE"/>
    <w:rsid w:val="41291A41"/>
    <w:rsid w:val="4134151A"/>
    <w:rsid w:val="4139096C"/>
    <w:rsid w:val="413D2BB1"/>
    <w:rsid w:val="41474A3F"/>
    <w:rsid w:val="414B7D7F"/>
    <w:rsid w:val="414E0879"/>
    <w:rsid w:val="41705013"/>
    <w:rsid w:val="418842E9"/>
    <w:rsid w:val="419A46C7"/>
    <w:rsid w:val="41A707A4"/>
    <w:rsid w:val="41BC7417"/>
    <w:rsid w:val="41BF5C6A"/>
    <w:rsid w:val="41CC4556"/>
    <w:rsid w:val="41DB65F8"/>
    <w:rsid w:val="41DC182F"/>
    <w:rsid w:val="41DC45CC"/>
    <w:rsid w:val="41F81C58"/>
    <w:rsid w:val="421439CA"/>
    <w:rsid w:val="42276F3E"/>
    <w:rsid w:val="422E02C1"/>
    <w:rsid w:val="422E191C"/>
    <w:rsid w:val="423451C5"/>
    <w:rsid w:val="42401BA9"/>
    <w:rsid w:val="424A3F2D"/>
    <w:rsid w:val="424A4466"/>
    <w:rsid w:val="424C153A"/>
    <w:rsid w:val="425352B2"/>
    <w:rsid w:val="42617D08"/>
    <w:rsid w:val="42847779"/>
    <w:rsid w:val="42A008F3"/>
    <w:rsid w:val="42B0452A"/>
    <w:rsid w:val="42C226C4"/>
    <w:rsid w:val="42C638CC"/>
    <w:rsid w:val="42DC1742"/>
    <w:rsid w:val="42DE58C8"/>
    <w:rsid w:val="42E12758"/>
    <w:rsid w:val="42F9250B"/>
    <w:rsid w:val="42FC4F0E"/>
    <w:rsid w:val="42FE724D"/>
    <w:rsid w:val="43043200"/>
    <w:rsid w:val="4317182A"/>
    <w:rsid w:val="43212931"/>
    <w:rsid w:val="4325416A"/>
    <w:rsid w:val="43297F1F"/>
    <w:rsid w:val="432D268A"/>
    <w:rsid w:val="433F7039"/>
    <w:rsid w:val="4340666C"/>
    <w:rsid w:val="434F49DD"/>
    <w:rsid w:val="435B37AA"/>
    <w:rsid w:val="43754E41"/>
    <w:rsid w:val="43805512"/>
    <w:rsid w:val="438661BC"/>
    <w:rsid w:val="438771BA"/>
    <w:rsid w:val="439C15BE"/>
    <w:rsid w:val="439E1AB1"/>
    <w:rsid w:val="43A3521E"/>
    <w:rsid w:val="43B76578"/>
    <w:rsid w:val="43CD0DA8"/>
    <w:rsid w:val="43D659C0"/>
    <w:rsid w:val="43D81FFE"/>
    <w:rsid w:val="43E20EE4"/>
    <w:rsid w:val="43E63DC4"/>
    <w:rsid w:val="43EB34B2"/>
    <w:rsid w:val="43F41075"/>
    <w:rsid w:val="43F9763D"/>
    <w:rsid w:val="43FB59FC"/>
    <w:rsid w:val="43FC4C5C"/>
    <w:rsid w:val="440046E0"/>
    <w:rsid w:val="44036654"/>
    <w:rsid w:val="440B3FA6"/>
    <w:rsid w:val="440E356D"/>
    <w:rsid w:val="442D63BC"/>
    <w:rsid w:val="44391777"/>
    <w:rsid w:val="443B665E"/>
    <w:rsid w:val="444F40C4"/>
    <w:rsid w:val="4474554B"/>
    <w:rsid w:val="44836354"/>
    <w:rsid w:val="44A41D76"/>
    <w:rsid w:val="44A9153B"/>
    <w:rsid w:val="44AA2ECA"/>
    <w:rsid w:val="44B050FA"/>
    <w:rsid w:val="44B749F2"/>
    <w:rsid w:val="44C60588"/>
    <w:rsid w:val="44C97399"/>
    <w:rsid w:val="44D71650"/>
    <w:rsid w:val="44DE366B"/>
    <w:rsid w:val="44DE7914"/>
    <w:rsid w:val="44F17791"/>
    <w:rsid w:val="44F521A4"/>
    <w:rsid w:val="45083E76"/>
    <w:rsid w:val="45095C2E"/>
    <w:rsid w:val="450C309C"/>
    <w:rsid w:val="451901C7"/>
    <w:rsid w:val="451B46E3"/>
    <w:rsid w:val="452F4833"/>
    <w:rsid w:val="453004F4"/>
    <w:rsid w:val="45445DDD"/>
    <w:rsid w:val="45467D53"/>
    <w:rsid w:val="454E523B"/>
    <w:rsid w:val="4550601F"/>
    <w:rsid w:val="45606F11"/>
    <w:rsid w:val="456660FD"/>
    <w:rsid w:val="45815C6A"/>
    <w:rsid w:val="45816435"/>
    <w:rsid w:val="45831A13"/>
    <w:rsid w:val="458F167C"/>
    <w:rsid w:val="45A010D9"/>
    <w:rsid w:val="45A353EF"/>
    <w:rsid w:val="45B53ED0"/>
    <w:rsid w:val="45C24A1E"/>
    <w:rsid w:val="45C46598"/>
    <w:rsid w:val="45C47929"/>
    <w:rsid w:val="45D37B8E"/>
    <w:rsid w:val="45D37CAB"/>
    <w:rsid w:val="45D4477A"/>
    <w:rsid w:val="45E259F7"/>
    <w:rsid w:val="45EA0950"/>
    <w:rsid w:val="45ED4A3C"/>
    <w:rsid w:val="45F2156C"/>
    <w:rsid w:val="460A379D"/>
    <w:rsid w:val="461F04CC"/>
    <w:rsid w:val="46435C56"/>
    <w:rsid w:val="4675605B"/>
    <w:rsid w:val="467740F7"/>
    <w:rsid w:val="46776B4E"/>
    <w:rsid w:val="46786335"/>
    <w:rsid w:val="46813FD2"/>
    <w:rsid w:val="46891B66"/>
    <w:rsid w:val="468D3B5C"/>
    <w:rsid w:val="46964987"/>
    <w:rsid w:val="469A233A"/>
    <w:rsid w:val="469F57AE"/>
    <w:rsid w:val="46A15679"/>
    <w:rsid w:val="46A80D6D"/>
    <w:rsid w:val="46B84C88"/>
    <w:rsid w:val="46BA0ABF"/>
    <w:rsid w:val="46C14334"/>
    <w:rsid w:val="46D21B06"/>
    <w:rsid w:val="46DA3C01"/>
    <w:rsid w:val="46DB06B9"/>
    <w:rsid w:val="470360CB"/>
    <w:rsid w:val="47063E92"/>
    <w:rsid w:val="470723AE"/>
    <w:rsid w:val="47217CC6"/>
    <w:rsid w:val="472A5C5A"/>
    <w:rsid w:val="47333C6A"/>
    <w:rsid w:val="474416F2"/>
    <w:rsid w:val="47460946"/>
    <w:rsid w:val="47507309"/>
    <w:rsid w:val="4766543B"/>
    <w:rsid w:val="47694764"/>
    <w:rsid w:val="4779038D"/>
    <w:rsid w:val="47935339"/>
    <w:rsid w:val="4796311B"/>
    <w:rsid w:val="479C39C2"/>
    <w:rsid w:val="479E636D"/>
    <w:rsid w:val="47DB3C87"/>
    <w:rsid w:val="47E61EB9"/>
    <w:rsid w:val="47EE1460"/>
    <w:rsid w:val="47F4313E"/>
    <w:rsid w:val="47FC3394"/>
    <w:rsid w:val="4802008B"/>
    <w:rsid w:val="48101E4F"/>
    <w:rsid w:val="48191604"/>
    <w:rsid w:val="481F7C88"/>
    <w:rsid w:val="482F0B76"/>
    <w:rsid w:val="48320983"/>
    <w:rsid w:val="483C68BF"/>
    <w:rsid w:val="48410158"/>
    <w:rsid w:val="48483AF2"/>
    <w:rsid w:val="48490E0D"/>
    <w:rsid w:val="48493B1F"/>
    <w:rsid w:val="484A4364"/>
    <w:rsid w:val="48554BA5"/>
    <w:rsid w:val="48676A8B"/>
    <w:rsid w:val="486A6222"/>
    <w:rsid w:val="48761086"/>
    <w:rsid w:val="48951010"/>
    <w:rsid w:val="48965B23"/>
    <w:rsid w:val="48B12E6C"/>
    <w:rsid w:val="48B54F12"/>
    <w:rsid w:val="48BC4E97"/>
    <w:rsid w:val="48BD520B"/>
    <w:rsid w:val="48C01FB4"/>
    <w:rsid w:val="48C226BF"/>
    <w:rsid w:val="48CA017A"/>
    <w:rsid w:val="48CE0D13"/>
    <w:rsid w:val="48CF50D6"/>
    <w:rsid w:val="48DA65EE"/>
    <w:rsid w:val="48F42772"/>
    <w:rsid w:val="48FA7F72"/>
    <w:rsid w:val="49080087"/>
    <w:rsid w:val="490C5C34"/>
    <w:rsid w:val="49196832"/>
    <w:rsid w:val="491D1F17"/>
    <w:rsid w:val="4925525B"/>
    <w:rsid w:val="49337429"/>
    <w:rsid w:val="49433ED7"/>
    <w:rsid w:val="4944165B"/>
    <w:rsid w:val="495A78B5"/>
    <w:rsid w:val="495D3087"/>
    <w:rsid w:val="496355A9"/>
    <w:rsid w:val="4970158E"/>
    <w:rsid w:val="49846BC8"/>
    <w:rsid w:val="49926CC6"/>
    <w:rsid w:val="49A241DC"/>
    <w:rsid w:val="49A96D18"/>
    <w:rsid w:val="49AF6E37"/>
    <w:rsid w:val="49B515A8"/>
    <w:rsid w:val="49D10060"/>
    <w:rsid w:val="49F1762F"/>
    <w:rsid w:val="49FD2BC7"/>
    <w:rsid w:val="4A0C3D0B"/>
    <w:rsid w:val="4A0E2FDD"/>
    <w:rsid w:val="4A265004"/>
    <w:rsid w:val="4A2A6ADE"/>
    <w:rsid w:val="4A324ACF"/>
    <w:rsid w:val="4A400705"/>
    <w:rsid w:val="4A4066FA"/>
    <w:rsid w:val="4A4863BA"/>
    <w:rsid w:val="4A496026"/>
    <w:rsid w:val="4A536FB7"/>
    <w:rsid w:val="4A571767"/>
    <w:rsid w:val="4A5B4362"/>
    <w:rsid w:val="4A642564"/>
    <w:rsid w:val="4A6C68F3"/>
    <w:rsid w:val="4A700D2F"/>
    <w:rsid w:val="4A704159"/>
    <w:rsid w:val="4A7B644E"/>
    <w:rsid w:val="4A821B64"/>
    <w:rsid w:val="4A821D51"/>
    <w:rsid w:val="4A823D52"/>
    <w:rsid w:val="4A8D0C0F"/>
    <w:rsid w:val="4A9128AC"/>
    <w:rsid w:val="4A9210D5"/>
    <w:rsid w:val="4AA30898"/>
    <w:rsid w:val="4ABA3C2D"/>
    <w:rsid w:val="4ABC7A81"/>
    <w:rsid w:val="4ABF41A0"/>
    <w:rsid w:val="4ACF66F2"/>
    <w:rsid w:val="4AD17C80"/>
    <w:rsid w:val="4AD804C6"/>
    <w:rsid w:val="4AE83186"/>
    <w:rsid w:val="4AEE52B9"/>
    <w:rsid w:val="4AF97432"/>
    <w:rsid w:val="4B097348"/>
    <w:rsid w:val="4B0C0B4F"/>
    <w:rsid w:val="4B0C55E7"/>
    <w:rsid w:val="4B2F4400"/>
    <w:rsid w:val="4B310177"/>
    <w:rsid w:val="4B397A97"/>
    <w:rsid w:val="4B3C212F"/>
    <w:rsid w:val="4B3D0696"/>
    <w:rsid w:val="4B4E5513"/>
    <w:rsid w:val="4B5425EC"/>
    <w:rsid w:val="4B692B97"/>
    <w:rsid w:val="4B790867"/>
    <w:rsid w:val="4B8350F0"/>
    <w:rsid w:val="4B8A5138"/>
    <w:rsid w:val="4B9341E5"/>
    <w:rsid w:val="4B9605BB"/>
    <w:rsid w:val="4BAB520A"/>
    <w:rsid w:val="4BB14DD9"/>
    <w:rsid w:val="4BB2407E"/>
    <w:rsid w:val="4BBF639D"/>
    <w:rsid w:val="4BC16A0B"/>
    <w:rsid w:val="4BC3584C"/>
    <w:rsid w:val="4BC76E20"/>
    <w:rsid w:val="4BCF3BD3"/>
    <w:rsid w:val="4BD806D5"/>
    <w:rsid w:val="4BEF07EF"/>
    <w:rsid w:val="4C063BFC"/>
    <w:rsid w:val="4C0A4F37"/>
    <w:rsid w:val="4C0C60BC"/>
    <w:rsid w:val="4C0D4834"/>
    <w:rsid w:val="4C3D144F"/>
    <w:rsid w:val="4C4A3CAD"/>
    <w:rsid w:val="4C587602"/>
    <w:rsid w:val="4C5B6B65"/>
    <w:rsid w:val="4C6935C3"/>
    <w:rsid w:val="4C6E23BA"/>
    <w:rsid w:val="4C70622B"/>
    <w:rsid w:val="4C91331D"/>
    <w:rsid w:val="4C952020"/>
    <w:rsid w:val="4C952359"/>
    <w:rsid w:val="4C993B18"/>
    <w:rsid w:val="4CC6662D"/>
    <w:rsid w:val="4CC974BD"/>
    <w:rsid w:val="4CCD2436"/>
    <w:rsid w:val="4CE45681"/>
    <w:rsid w:val="4CF22901"/>
    <w:rsid w:val="4CF605B6"/>
    <w:rsid w:val="4CF932D4"/>
    <w:rsid w:val="4CFE4AC1"/>
    <w:rsid w:val="4D096E91"/>
    <w:rsid w:val="4D1262E2"/>
    <w:rsid w:val="4D1B142B"/>
    <w:rsid w:val="4D1E68D5"/>
    <w:rsid w:val="4D1F5103"/>
    <w:rsid w:val="4D2049E2"/>
    <w:rsid w:val="4D230EAF"/>
    <w:rsid w:val="4D2860FD"/>
    <w:rsid w:val="4D395D2C"/>
    <w:rsid w:val="4D412908"/>
    <w:rsid w:val="4D4D1ACE"/>
    <w:rsid w:val="4D5B4885"/>
    <w:rsid w:val="4D5E736B"/>
    <w:rsid w:val="4D723DD0"/>
    <w:rsid w:val="4D8828AE"/>
    <w:rsid w:val="4D8D2193"/>
    <w:rsid w:val="4D8E5013"/>
    <w:rsid w:val="4D9A063F"/>
    <w:rsid w:val="4DA07B5C"/>
    <w:rsid w:val="4DA1460B"/>
    <w:rsid w:val="4DA95C8B"/>
    <w:rsid w:val="4DAC0AEC"/>
    <w:rsid w:val="4DB26C8A"/>
    <w:rsid w:val="4DBF15E8"/>
    <w:rsid w:val="4DBF1749"/>
    <w:rsid w:val="4DD83B0C"/>
    <w:rsid w:val="4DE07E7B"/>
    <w:rsid w:val="4DE46708"/>
    <w:rsid w:val="4DF16561"/>
    <w:rsid w:val="4DF23CB1"/>
    <w:rsid w:val="4DFA1FF2"/>
    <w:rsid w:val="4E0F406F"/>
    <w:rsid w:val="4E335AC7"/>
    <w:rsid w:val="4E353A46"/>
    <w:rsid w:val="4E465FFA"/>
    <w:rsid w:val="4E5655BD"/>
    <w:rsid w:val="4E637472"/>
    <w:rsid w:val="4E6956D1"/>
    <w:rsid w:val="4E930E56"/>
    <w:rsid w:val="4EAA6BCA"/>
    <w:rsid w:val="4EB90E4D"/>
    <w:rsid w:val="4EC6599F"/>
    <w:rsid w:val="4EDB14B9"/>
    <w:rsid w:val="4EFB0E13"/>
    <w:rsid w:val="4EFC60B6"/>
    <w:rsid w:val="4F01734B"/>
    <w:rsid w:val="4F043E23"/>
    <w:rsid w:val="4F062CF8"/>
    <w:rsid w:val="4F140AC9"/>
    <w:rsid w:val="4F1D00B2"/>
    <w:rsid w:val="4F223B5F"/>
    <w:rsid w:val="4F2368A4"/>
    <w:rsid w:val="4F242D47"/>
    <w:rsid w:val="4F2D2AA5"/>
    <w:rsid w:val="4F3C33BE"/>
    <w:rsid w:val="4F552441"/>
    <w:rsid w:val="4F555CFD"/>
    <w:rsid w:val="4F670CFD"/>
    <w:rsid w:val="4F6C342C"/>
    <w:rsid w:val="4F6C362C"/>
    <w:rsid w:val="4F7A2103"/>
    <w:rsid w:val="4F852F54"/>
    <w:rsid w:val="4F8C0A02"/>
    <w:rsid w:val="4F985B15"/>
    <w:rsid w:val="4FA01457"/>
    <w:rsid w:val="4FA76270"/>
    <w:rsid w:val="4FAE4C58"/>
    <w:rsid w:val="4FB47D0E"/>
    <w:rsid w:val="4FD95138"/>
    <w:rsid w:val="4FDE2170"/>
    <w:rsid w:val="50161422"/>
    <w:rsid w:val="5017231B"/>
    <w:rsid w:val="502C167B"/>
    <w:rsid w:val="502F6827"/>
    <w:rsid w:val="50440133"/>
    <w:rsid w:val="50441F6B"/>
    <w:rsid w:val="504A01E6"/>
    <w:rsid w:val="50581BD8"/>
    <w:rsid w:val="505F0DA3"/>
    <w:rsid w:val="5065663D"/>
    <w:rsid w:val="506C7514"/>
    <w:rsid w:val="506E069E"/>
    <w:rsid w:val="509024DF"/>
    <w:rsid w:val="50A535DA"/>
    <w:rsid w:val="50B90177"/>
    <w:rsid w:val="50B92B63"/>
    <w:rsid w:val="50B97B4C"/>
    <w:rsid w:val="50E54DD2"/>
    <w:rsid w:val="50F13994"/>
    <w:rsid w:val="50F679CB"/>
    <w:rsid w:val="50FD2215"/>
    <w:rsid w:val="50FF7D50"/>
    <w:rsid w:val="51015D05"/>
    <w:rsid w:val="511375A3"/>
    <w:rsid w:val="5132256A"/>
    <w:rsid w:val="51322841"/>
    <w:rsid w:val="51352E9C"/>
    <w:rsid w:val="513652D3"/>
    <w:rsid w:val="514263A9"/>
    <w:rsid w:val="5161517E"/>
    <w:rsid w:val="51680A9F"/>
    <w:rsid w:val="516E3913"/>
    <w:rsid w:val="516E55D9"/>
    <w:rsid w:val="51731A9E"/>
    <w:rsid w:val="51743D10"/>
    <w:rsid w:val="517D11D1"/>
    <w:rsid w:val="5192499B"/>
    <w:rsid w:val="51967E84"/>
    <w:rsid w:val="519B2CFF"/>
    <w:rsid w:val="51A0581F"/>
    <w:rsid w:val="51A80727"/>
    <w:rsid w:val="51BE577E"/>
    <w:rsid w:val="51D40D49"/>
    <w:rsid w:val="51E52399"/>
    <w:rsid w:val="51E94E52"/>
    <w:rsid w:val="51EA4155"/>
    <w:rsid w:val="51EE6BB2"/>
    <w:rsid w:val="52063C52"/>
    <w:rsid w:val="52110E43"/>
    <w:rsid w:val="52140AA8"/>
    <w:rsid w:val="521C4266"/>
    <w:rsid w:val="521D1A71"/>
    <w:rsid w:val="522A4B5C"/>
    <w:rsid w:val="522F43D9"/>
    <w:rsid w:val="523D13A3"/>
    <w:rsid w:val="523E431E"/>
    <w:rsid w:val="524B3514"/>
    <w:rsid w:val="524F54E6"/>
    <w:rsid w:val="52534890"/>
    <w:rsid w:val="52535AC1"/>
    <w:rsid w:val="525373BB"/>
    <w:rsid w:val="525F02F6"/>
    <w:rsid w:val="5260025A"/>
    <w:rsid w:val="52635E63"/>
    <w:rsid w:val="528A0090"/>
    <w:rsid w:val="52916A2A"/>
    <w:rsid w:val="52936B62"/>
    <w:rsid w:val="52C75989"/>
    <w:rsid w:val="52C96ACF"/>
    <w:rsid w:val="52CA6D02"/>
    <w:rsid w:val="52DE09E2"/>
    <w:rsid w:val="52E06553"/>
    <w:rsid w:val="52EB5DAA"/>
    <w:rsid w:val="52EC4717"/>
    <w:rsid w:val="52F448BA"/>
    <w:rsid w:val="52FD479E"/>
    <w:rsid w:val="53165622"/>
    <w:rsid w:val="531960F6"/>
    <w:rsid w:val="53205828"/>
    <w:rsid w:val="532C372E"/>
    <w:rsid w:val="532E5495"/>
    <w:rsid w:val="53404857"/>
    <w:rsid w:val="53480018"/>
    <w:rsid w:val="53610FC5"/>
    <w:rsid w:val="537F1999"/>
    <w:rsid w:val="53813E2E"/>
    <w:rsid w:val="5396178B"/>
    <w:rsid w:val="53967607"/>
    <w:rsid w:val="53A256BA"/>
    <w:rsid w:val="53B722F8"/>
    <w:rsid w:val="53CB0D5C"/>
    <w:rsid w:val="53CC457A"/>
    <w:rsid w:val="53D06625"/>
    <w:rsid w:val="53D25493"/>
    <w:rsid w:val="53D569A0"/>
    <w:rsid w:val="53D854D7"/>
    <w:rsid w:val="53E344EC"/>
    <w:rsid w:val="53ED7703"/>
    <w:rsid w:val="53F46F22"/>
    <w:rsid w:val="540C65CA"/>
    <w:rsid w:val="540D6C05"/>
    <w:rsid w:val="542202E3"/>
    <w:rsid w:val="542755CA"/>
    <w:rsid w:val="54403EAB"/>
    <w:rsid w:val="5441216D"/>
    <w:rsid w:val="544E1665"/>
    <w:rsid w:val="544E3DB1"/>
    <w:rsid w:val="544F79D3"/>
    <w:rsid w:val="545F06FF"/>
    <w:rsid w:val="545F2B4D"/>
    <w:rsid w:val="54631F98"/>
    <w:rsid w:val="546E072C"/>
    <w:rsid w:val="54862862"/>
    <w:rsid w:val="549A30B3"/>
    <w:rsid w:val="549A6E46"/>
    <w:rsid w:val="54A7226D"/>
    <w:rsid w:val="54B84978"/>
    <w:rsid w:val="54BB4DF8"/>
    <w:rsid w:val="54BE1601"/>
    <w:rsid w:val="54DA3801"/>
    <w:rsid w:val="54DB2C52"/>
    <w:rsid w:val="54DC3843"/>
    <w:rsid w:val="54E20966"/>
    <w:rsid w:val="54E23875"/>
    <w:rsid w:val="54E27FBC"/>
    <w:rsid w:val="54E94D66"/>
    <w:rsid w:val="54F13CE3"/>
    <w:rsid w:val="54F25BB6"/>
    <w:rsid w:val="55004DEF"/>
    <w:rsid w:val="55021CFE"/>
    <w:rsid w:val="55041C27"/>
    <w:rsid w:val="550854DD"/>
    <w:rsid w:val="550A6549"/>
    <w:rsid w:val="550F1327"/>
    <w:rsid w:val="551C6A12"/>
    <w:rsid w:val="552C372F"/>
    <w:rsid w:val="554031DE"/>
    <w:rsid w:val="55447A12"/>
    <w:rsid w:val="555E2D05"/>
    <w:rsid w:val="55797173"/>
    <w:rsid w:val="559C08B0"/>
    <w:rsid w:val="55A32A3B"/>
    <w:rsid w:val="55B03AE7"/>
    <w:rsid w:val="55BC6A59"/>
    <w:rsid w:val="55CB5C7C"/>
    <w:rsid w:val="55DD13E0"/>
    <w:rsid w:val="55EC50F0"/>
    <w:rsid w:val="55EF38FB"/>
    <w:rsid w:val="55F54843"/>
    <w:rsid w:val="55F75E5B"/>
    <w:rsid w:val="55FA3A43"/>
    <w:rsid w:val="56115691"/>
    <w:rsid w:val="561C4E81"/>
    <w:rsid w:val="56262BDA"/>
    <w:rsid w:val="562C0E5D"/>
    <w:rsid w:val="563211A5"/>
    <w:rsid w:val="563E3930"/>
    <w:rsid w:val="56401F6F"/>
    <w:rsid w:val="56444BFF"/>
    <w:rsid w:val="56547D58"/>
    <w:rsid w:val="565631F2"/>
    <w:rsid w:val="565C3424"/>
    <w:rsid w:val="56624C97"/>
    <w:rsid w:val="56641725"/>
    <w:rsid w:val="567A4728"/>
    <w:rsid w:val="567B48F9"/>
    <w:rsid w:val="567D7AFE"/>
    <w:rsid w:val="56830662"/>
    <w:rsid w:val="568B320C"/>
    <w:rsid w:val="56981CF2"/>
    <w:rsid w:val="56A30760"/>
    <w:rsid w:val="56B80C7D"/>
    <w:rsid w:val="56C01103"/>
    <w:rsid w:val="56D34127"/>
    <w:rsid w:val="56E63C65"/>
    <w:rsid w:val="56EC1DFA"/>
    <w:rsid w:val="56FC7744"/>
    <w:rsid w:val="56FC7F62"/>
    <w:rsid w:val="5707115B"/>
    <w:rsid w:val="57093304"/>
    <w:rsid w:val="5715351F"/>
    <w:rsid w:val="571C654E"/>
    <w:rsid w:val="5738037B"/>
    <w:rsid w:val="573B38A0"/>
    <w:rsid w:val="5769570F"/>
    <w:rsid w:val="576C5339"/>
    <w:rsid w:val="57721BAA"/>
    <w:rsid w:val="577723FF"/>
    <w:rsid w:val="578F7281"/>
    <w:rsid w:val="57992F80"/>
    <w:rsid w:val="57A20965"/>
    <w:rsid w:val="57A44EB3"/>
    <w:rsid w:val="57AC0495"/>
    <w:rsid w:val="57D1150F"/>
    <w:rsid w:val="57D157B9"/>
    <w:rsid w:val="57D4795C"/>
    <w:rsid w:val="57D73025"/>
    <w:rsid w:val="57D73AE9"/>
    <w:rsid w:val="57D82C5F"/>
    <w:rsid w:val="57E074CE"/>
    <w:rsid w:val="57F107CC"/>
    <w:rsid w:val="57F759BC"/>
    <w:rsid w:val="57FA002E"/>
    <w:rsid w:val="57FC0C8D"/>
    <w:rsid w:val="58121814"/>
    <w:rsid w:val="583E2A38"/>
    <w:rsid w:val="583F4F96"/>
    <w:rsid w:val="58496613"/>
    <w:rsid w:val="58541E22"/>
    <w:rsid w:val="5867645C"/>
    <w:rsid w:val="586813E9"/>
    <w:rsid w:val="586958B4"/>
    <w:rsid w:val="586A2240"/>
    <w:rsid w:val="58714365"/>
    <w:rsid w:val="58744668"/>
    <w:rsid w:val="58750E57"/>
    <w:rsid w:val="587D22E6"/>
    <w:rsid w:val="58823A38"/>
    <w:rsid w:val="58837246"/>
    <w:rsid w:val="58837422"/>
    <w:rsid w:val="588A037B"/>
    <w:rsid w:val="588B56B1"/>
    <w:rsid w:val="58AB2958"/>
    <w:rsid w:val="58BB1391"/>
    <w:rsid w:val="58C474BB"/>
    <w:rsid w:val="58C84F58"/>
    <w:rsid w:val="58CD331F"/>
    <w:rsid w:val="58D01382"/>
    <w:rsid w:val="58D34824"/>
    <w:rsid w:val="58D40B22"/>
    <w:rsid w:val="58D54D0A"/>
    <w:rsid w:val="58DD42E5"/>
    <w:rsid w:val="58DE4066"/>
    <w:rsid w:val="58E814E8"/>
    <w:rsid w:val="58ED6D78"/>
    <w:rsid w:val="58FC1299"/>
    <w:rsid w:val="59060FD3"/>
    <w:rsid w:val="59223912"/>
    <w:rsid w:val="59251796"/>
    <w:rsid w:val="592C0511"/>
    <w:rsid w:val="59341A4A"/>
    <w:rsid w:val="59394FAB"/>
    <w:rsid w:val="593B500A"/>
    <w:rsid w:val="59405AC5"/>
    <w:rsid w:val="59441F48"/>
    <w:rsid w:val="59494F8E"/>
    <w:rsid w:val="59584007"/>
    <w:rsid w:val="596F459D"/>
    <w:rsid w:val="59704FD8"/>
    <w:rsid w:val="59782ACE"/>
    <w:rsid w:val="599308C7"/>
    <w:rsid w:val="599F0C02"/>
    <w:rsid w:val="59A12781"/>
    <w:rsid w:val="59A86B56"/>
    <w:rsid w:val="59AA30B2"/>
    <w:rsid w:val="59C27B97"/>
    <w:rsid w:val="59C877BA"/>
    <w:rsid w:val="59E8295A"/>
    <w:rsid w:val="59F3703F"/>
    <w:rsid w:val="59F40609"/>
    <w:rsid w:val="5A0A11D6"/>
    <w:rsid w:val="5A0B7B45"/>
    <w:rsid w:val="5A0E4270"/>
    <w:rsid w:val="5A0E4CB0"/>
    <w:rsid w:val="5A2759C5"/>
    <w:rsid w:val="5A2B51FC"/>
    <w:rsid w:val="5A304DC9"/>
    <w:rsid w:val="5A316012"/>
    <w:rsid w:val="5A384B1C"/>
    <w:rsid w:val="5A454B08"/>
    <w:rsid w:val="5A781900"/>
    <w:rsid w:val="5A845D1A"/>
    <w:rsid w:val="5A8712AB"/>
    <w:rsid w:val="5A9735FA"/>
    <w:rsid w:val="5AAD62F6"/>
    <w:rsid w:val="5AB12762"/>
    <w:rsid w:val="5AB24E11"/>
    <w:rsid w:val="5AC466A8"/>
    <w:rsid w:val="5AD14297"/>
    <w:rsid w:val="5AD62209"/>
    <w:rsid w:val="5AE34C3D"/>
    <w:rsid w:val="5AE87A6B"/>
    <w:rsid w:val="5AF4160D"/>
    <w:rsid w:val="5B030ECC"/>
    <w:rsid w:val="5B085068"/>
    <w:rsid w:val="5B093C45"/>
    <w:rsid w:val="5B0B02AD"/>
    <w:rsid w:val="5B0D15FC"/>
    <w:rsid w:val="5B0E2582"/>
    <w:rsid w:val="5B13028E"/>
    <w:rsid w:val="5B180CC3"/>
    <w:rsid w:val="5B1F5A74"/>
    <w:rsid w:val="5B22783D"/>
    <w:rsid w:val="5B29738B"/>
    <w:rsid w:val="5B67268A"/>
    <w:rsid w:val="5B6C4993"/>
    <w:rsid w:val="5B8C75FA"/>
    <w:rsid w:val="5B9E7E08"/>
    <w:rsid w:val="5BA02BC0"/>
    <w:rsid w:val="5BA774BD"/>
    <w:rsid w:val="5BA82698"/>
    <w:rsid w:val="5BB205EF"/>
    <w:rsid w:val="5BB42988"/>
    <w:rsid w:val="5BB50111"/>
    <w:rsid w:val="5BB56A75"/>
    <w:rsid w:val="5BC41EE8"/>
    <w:rsid w:val="5BC57581"/>
    <w:rsid w:val="5BC815E8"/>
    <w:rsid w:val="5BC95C8F"/>
    <w:rsid w:val="5BDD304A"/>
    <w:rsid w:val="5BEA43FE"/>
    <w:rsid w:val="5BEB4CA0"/>
    <w:rsid w:val="5BF12CD0"/>
    <w:rsid w:val="5C011C06"/>
    <w:rsid w:val="5C05219D"/>
    <w:rsid w:val="5C057AEA"/>
    <w:rsid w:val="5C0925A1"/>
    <w:rsid w:val="5C1E12E1"/>
    <w:rsid w:val="5C221972"/>
    <w:rsid w:val="5C29691E"/>
    <w:rsid w:val="5C2A46E1"/>
    <w:rsid w:val="5C2F548D"/>
    <w:rsid w:val="5C3A4759"/>
    <w:rsid w:val="5C3B3FA8"/>
    <w:rsid w:val="5C600EB0"/>
    <w:rsid w:val="5C703EC5"/>
    <w:rsid w:val="5C782CFA"/>
    <w:rsid w:val="5C7F05C6"/>
    <w:rsid w:val="5C8642FA"/>
    <w:rsid w:val="5C8652EA"/>
    <w:rsid w:val="5C893960"/>
    <w:rsid w:val="5C8D1102"/>
    <w:rsid w:val="5C9A6F5C"/>
    <w:rsid w:val="5CA0414D"/>
    <w:rsid w:val="5CA06E7D"/>
    <w:rsid w:val="5CA44DB7"/>
    <w:rsid w:val="5CA7038F"/>
    <w:rsid w:val="5CC61169"/>
    <w:rsid w:val="5CD6044A"/>
    <w:rsid w:val="5CD747C5"/>
    <w:rsid w:val="5CE35B12"/>
    <w:rsid w:val="5CF22CE2"/>
    <w:rsid w:val="5CF909D9"/>
    <w:rsid w:val="5D09600B"/>
    <w:rsid w:val="5D0F748C"/>
    <w:rsid w:val="5D1B277E"/>
    <w:rsid w:val="5D2775A9"/>
    <w:rsid w:val="5D292816"/>
    <w:rsid w:val="5D2E289A"/>
    <w:rsid w:val="5D3F228D"/>
    <w:rsid w:val="5D41544C"/>
    <w:rsid w:val="5D423A92"/>
    <w:rsid w:val="5D4B7789"/>
    <w:rsid w:val="5D537E3C"/>
    <w:rsid w:val="5D6A2B19"/>
    <w:rsid w:val="5D7B3345"/>
    <w:rsid w:val="5D7C7595"/>
    <w:rsid w:val="5D7F69D9"/>
    <w:rsid w:val="5D812079"/>
    <w:rsid w:val="5D8D29FE"/>
    <w:rsid w:val="5D8D46B6"/>
    <w:rsid w:val="5DAA48A1"/>
    <w:rsid w:val="5DB228E8"/>
    <w:rsid w:val="5DB449D7"/>
    <w:rsid w:val="5DB71E13"/>
    <w:rsid w:val="5DC131E9"/>
    <w:rsid w:val="5DDB739C"/>
    <w:rsid w:val="5DE37A5D"/>
    <w:rsid w:val="5DEF6B8D"/>
    <w:rsid w:val="5DF924D3"/>
    <w:rsid w:val="5E07580A"/>
    <w:rsid w:val="5E211FC2"/>
    <w:rsid w:val="5E2449CB"/>
    <w:rsid w:val="5E3B271C"/>
    <w:rsid w:val="5E3E2198"/>
    <w:rsid w:val="5E6B7715"/>
    <w:rsid w:val="5E88422A"/>
    <w:rsid w:val="5EB53DA3"/>
    <w:rsid w:val="5EB67F76"/>
    <w:rsid w:val="5EB81416"/>
    <w:rsid w:val="5EC56C75"/>
    <w:rsid w:val="5ED0580E"/>
    <w:rsid w:val="5EEB747E"/>
    <w:rsid w:val="5EF41DF7"/>
    <w:rsid w:val="5EF50D6F"/>
    <w:rsid w:val="5EFA0CA9"/>
    <w:rsid w:val="5F08003C"/>
    <w:rsid w:val="5F0E0C24"/>
    <w:rsid w:val="5F172051"/>
    <w:rsid w:val="5F2126D4"/>
    <w:rsid w:val="5F2D0021"/>
    <w:rsid w:val="5F361604"/>
    <w:rsid w:val="5F374DB2"/>
    <w:rsid w:val="5F493588"/>
    <w:rsid w:val="5F5A709C"/>
    <w:rsid w:val="5F5D26FF"/>
    <w:rsid w:val="5F69366F"/>
    <w:rsid w:val="5F6D55E7"/>
    <w:rsid w:val="5F8C1327"/>
    <w:rsid w:val="5F9A22EC"/>
    <w:rsid w:val="5FA37E8C"/>
    <w:rsid w:val="5FA44921"/>
    <w:rsid w:val="5FCE0F81"/>
    <w:rsid w:val="5FED6623"/>
    <w:rsid w:val="5FEE466F"/>
    <w:rsid w:val="5FF0113F"/>
    <w:rsid w:val="60004FFF"/>
    <w:rsid w:val="60102677"/>
    <w:rsid w:val="602252DD"/>
    <w:rsid w:val="602A310B"/>
    <w:rsid w:val="603A10D9"/>
    <w:rsid w:val="60516F9D"/>
    <w:rsid w:val="60537971"/>
    <w:rsid w:val="606547D7"/>
    <w:rsid w:val="606F0039"/>
    <w:rsid w:val="606F3115"/>
    <w:rsid w:val="60753AC3"/>
    <w:rsid w:val="607C69C4"/>
    <w:rsid w:val="609265F6"/>
    <w:rsid w:val="609A3DBE"/>
    <w:rsid w:val="60A63E8D"/>
    <w:rsid w:val="60A70F0E"/>
    <w:rsid w:val="60C91E06"/>
    <w:rsid w:val="60CF5A45"/>
    <w:rsid w:val="60E16AA8"/>
    <w:rsid w:val="60EE243B"/>
    <w:rsid w:val="60F916AD"/>
    <w:rsid w:val="60FE7809"/>
    <w:rsid w:val="61066469"/>
    <w:rsid w:val="61201DEA"/>
    <w:rsid w:val="61252EBF"/>
    <w:rsid w:val="612E1AD5"/>
    <w:rsid w:val="613E0065"/>
    <w:rsid w:val="6180060E"/>
    <w:rsid w:val="61853DB3"/>
    <w:rsid w:val="618B1D54"/>
    <w:rsid w:val="618D1B81"/>
    <w:rsid w:val="6190070F"/>
    <w:rsid w:val="61952F3A"/>
    <w:rsid w:val="61B50DD1"/>
    <w:rsid w:val="61C97C7F"/>
    <w:rsid w:val="61E03258"/>
    <w:rsid w:val="61E464BC"/>
    <w:rsid w:val="61E80274"/>
    <w:rsid w:val="61F6302B"/>
    <w:rsid w:val="61F85437"/>
    <w:rsid w:val="61FA471F"/>
    <w:rsid w:val="62024E1C"/>
    <w:rsid w:val="62167315"/>
    <w:rsid w:val="621C48CE"/>
    <w:rsid w:val="623555B0"/>
    <w:rsid w:val="623E6398"/>
    <w:rsid w:val="62417735"/>
    <w:rsid w:val="62510A39"/>
    <w:rsid w:val="625F4D92"/>
    <w:rsid w:val="62621164"/>
    <w:rsid w:val="627952DC"/>
    <w:rsid w:val="62931272"/>
    <w:rsid w:val="629642A8"/>
    <w:rsid w:val="62A134E3"/>
    <w:rsid w:val="62AA40B1"/>
    <w:rsid w:val="62B232FF"/>
    <w:rsid w:val="62BB63C7"/>
    <w:rsid w:val="62C072A0"/>
    <w:rsid w:val="62CA32A0"/>
    <w:rsid w:val="62D1520B"/>
    <w:rsid w:val="62D7573F"/>
    <w:rsid w:val="62EE72CF"/>
    <w:rsid w:val="62FE6225"/>
    <w:rsid w:val="630141F5"/>
    <w:rsid w:val="630B3075"/>
    <w:rsid w:val="631527BA"/>
    <w:rsid w:val="63202385"/>
    <w:rsid w:val="633F737B"/>
    <w:rsid w:val="634444A7"/>
    <w:rsid w:val="634905D9"/>
    <w:rsid w:val="63626152"/>
    <w:rsid w:val="63683F9B"/>
    <w:rsid w:val="636F2DE3"/>
    <w:rsid w:val="63785C19"/>
    <w:rsid w:val="63831BAB"/>
    <w:rsid w:val="639458DA"/>
    <w:rsid w:val="63953371"/>
    <w:rsid w:val="63B15F29"/>
    <w:rsid w:val="63B442F0"/>
    <w:rsid w:val="63B8088C"/>
    <w:rsid w:val="63B92AC2"/>
    <w:rsid w:val="63BE09E2"/>
    <w:rsid w:val="63C52EC3"/>
    <w:rsid w:val="63CC6352"/>
    <w:rsid w:val="63D26D36"/>
    <w:rsid w:val="63D937B7"/>
    <w:rsid w:val="63DA14C9"/>
    <w:rsid w:val="63DC321C"/>
    <w:rsid w:val="63EC6EC3"/>
    <w:rsid w:val="63EF7689"/>
    <w:rsid w:val="63F36B9D"/>
    <w:rsid w:val="6407253D"/>
    <w:rsid w:val="641C0DFC"/>
    <w:rsid w:val="641F34D6"/>
    <w:rsid w:val="642710AB"/>
    <w:rsid w:val="642939C6"/>
    <w:rsid w:val="64307AF9"/>
    <w:rsid w:val="643E7E6A"/>
    <w:rsid w:val="6440269F"/>
    <w:rsid w:val="644537E3"/>
    <w:rsid w:val="64473D75"/>
    <w:rsid w:val="644A3A48"/>
    <w:rsid w:val="64571D13"/>
    <w:rsid w:val="645A34EE"/>
    <w:rsid w:val="64621615"/>
    <w:rsid w:val="647568BB"/>
    <w:rsid w:val="6486183F"/>
    <w:rsid w:val="648B0D02"/>
    <w:rsid w:val="64902DCD"/>
    <w:rsid w:val="649230BB"/>
    <w:rsid w:val="64B64975"/>
    <w:rsid w:val="64D57DB2"/>
    <w:rsid w:val="64D97B7F"/>
    <w:rsid w:val="64DA5491"/>
    <w:rsid w:val="64DB4467"/>
    <w:rsid w:val="64E51515"/>
    <w:rsid w:val="64F526FC"/>
    <w:rsid w:val="64FA2320"/>
    <w:rsid w:val="65053A99"/>
    <w:rsid w:val="650E6F3B"/>
    <w:rsid w:val="6516725F"/>
    <w:rsid w:val="651F6D27"/>
    <w:rsid w:val="652714F3"/>
    <w:rsid w:val="6534709F"/>
    <w:rsid w:val="65347173"/>
    <w:rsid w:val="65383962"/>
    <w:rsid w:val="653A3F5C"/>
    <w:rsid w:val="654553E4"/>
    <w:rsid w:val="654C7F3F"/>
    <w:rsid w:val="654E737A"/>
    <w:rsid w:val="65521F8A"/>
    <w:rsid w:val="6556409B"/>
    <w:rsid w:val="65605590"/>
    <w:rsid w:val="6561782F"/>
    <w:rsid w:val="6565552D"/>
    <w:rsid w:val="65715032"/>
    <w:rsid w:val="65754160"/>
    <w:rsid w:val="65785674"/>
    <w:rsid w:val="657C2DFA"/>
    <w:rsid w:val="65855378"/>
    <w:rsid w:val="658909B4"/>
    <w:rsid w:val="659E2CEA"/>
    <w:rsid w:val="65A913E7"/>
    <w:rsid w:val="65A96568"/>
    <w:rsid w:val="65AB251A"/>
    <w:rsid w:val="65AF1A22"/>
    <w:rsid w:val="65D57D9C"/>
    <w:rsid w:val="65D8317A"/>
    <w:rsid w:val="65DD06D9"/>
    <w:rsid w:val="65E93D69"/>
    <w:rsid w:val="65EF6D3A"/>
    <w:rsid w:val="65F13AA8"/>
    <w:rsid w:val="65F51F9E"/>
    <w:rsid w:val="65F5388E"/>
    <w:rsid w:val="65F77447"/>
    <w:rsid w:val="65FA16E7"/>
    <w:rsid w:val="65FE44D7"/>
    <w:rsid w:val="660A692B"/>
    <w:rsid w:val="661C2F92"/>
    <w:rsid w:val="6622117A"/>
    <w:rsid w:val="663E44FD"/>
    <w:rsid w:val="663F6CD0"/>
    <w:rsid w:val="6642454E"/>
    <w:rsid w:val="664F2B8D"/>
    <w:rsid w:val="66565921"/>
    <w:rsid w:val="665807A4"/>
    <w:rsid w:val="66632961"/>
    <w:rsid w:val="66694ACA"/>
    <w:rsid w:val="66703321"/>
    <w:rsid w:val="66744AED"/>
    <w:rsid w:val="667709B7"/>
    <w:rsid w:val="667C4B32"/>
    <w:rsid w:val="66825BAF"/>
    <w:rsid w:val="668462B0"/>
    <w:rsid w:val="66891F80"/>
    <w:rsid w:val="668F7EEC"/>
    <w:rsid w:val="66A64D03"/>
    <w:rsid w:val="66B8134F"/>
    <w:rsid w:val="66C65B3A"/>
    <w:rsid w:val="66C82683"/>
    <w:rsid w:val="66CC51A7"/>
    <w:rsid w:val="66F02249"/>
    <w:rsid w:val="66F05220"/>
    <w:rsid w:val="670C2910"/>
    <w:rsid w:val="67144C5D"/>
    <w:rsid w:val="671A1459"/>
    <w:rsid w:val="67203B38"/>
    <w:rsid w:val="6728466F"/>
    <w:rsid w:val="674462B8"/>
    <w:rsid w:val="674530C1"/>
    <w:rsid w:val="675A70C1"/>
    <w:rsid w:val="67693167"/>
    <w:rsid w:val="678A3AF4"/>
    <w:rsid w:val="6799027F"/>
    <w:rsid w:val="67A43E97"/>
    <w:rsid w:val="67BB37FA"/>
    <w:rsid w:val="67FC1DF0"/>
    <w:rsid w:val="68085E9D"/>
    <w:rsid w:val="681A0E33"/>
    <w:rsid w:val="681B2B39"/>
    <w:rsid w:val="682D434A"/>
    <w:rsid w:val="68351B01"/>
    <w:rsid w:val="68382F12"/>
    <w:rsid w:val="68471409"/>
    <w:rsid w:val="685D7380"/>
    <w:rsid w:val="6871618A"/>
    <w:rsid w:val="687424D3"/>
    <w:rsid w:val="68774C90"/>
    <w:rsid w:val="6884542E"/>
    <w:rsid w:val="688A642D"/>
    <w:rsid w:val="6895106B"/>
    <w:rsid w:val="689B7965"/>
    <w:rsid w:val="68B4530C"/>
    <w:rsid w:val="68C51FA5"/>
    <w:rsid w:val="68CE57E2"/>
    <w:rsid w:val="68D3230C"/>
    <w:rsid w:val="69235B81"/>
    <w:rsid w:val="692506E2"/>
    <w:rsid w:val="69285971"/>
    <w:rsid w:val="692A0190"/>
    <w:rsid w:val="693226BB"/>
    <w:rsid w:val="693D535E"/>
    <w:rsid w:val="695176FA"/>
    <w:rsid w:val="69524885"/>
    <w:rsid w:val="695C455A"/>
    <w:rsid w:val="6964224E"/>
    <w:rsid w:val="6983234E"/>
    <w:rsid w:val="69891964"/>
    <w:rsid w:val="699D60D5"/>
    <w:rsid w:val="69A148F0"/>
    <w:rsid w:val="69B06897"/>
    <w:rsid w:val="69B42988"/>
    <w:rsid w:val="69D67032"/>
    <w:rsid w:val="69E22DB3"/>
    <w:rsid w:val="69EF30CD"/>
    <w:rsid w:val="6A07006D"/>
    <w:rsid w:val="6A070EEB"/>
    <w:rsid w:val="6A1B704C"/>
    <w:rsid w:val="6A3E17C2"/>
    <w:rsid w:val="6A3E634B"/>
    <w:rsid w:val="6A423284"/>
    <w:rsid w:val="6A42402F"/>
    <w:rsid w:val="6A4F26CB"/>
    <w:rsid w:val="6A5F053E"/>
    <w:rsid w:val="6A6C729D"/>
    <w:rsid w:val="6AA151E6"/>
    <w:rsid w:val="6AB34B09"/>
    <w:rsid w:val="6AD94A4C"/>
    <w:rsid w:val="6AE06AA7"/>
    <w:rsid w:val="6AE0789B"/>
    <w:rsid w:val="6AE75310"/>
    <w:rsid w:val="6AF44970"/>
    <w:rsid w:val="6AF655E3"/>
    <w:rsid w:val="6B141780"/>
    <w:rsid w:val="6B1921A1"/>
    <w:rsid w:val="6B1C0F32"/>
    <w:rsid w:val="6B204D83"/>
    <w:rsid w:val="6B221D4B"/>
    <w:rsid w:val="6B255306"/>
    <w:rsid w:val="6B263E8B"/>
    <w:rsid w:val="6B375AE4"/>
    <w:rsid w:val="6B3E2EE0"/>
    <w:rsid w:val="6B4015D3"/>
    <w:rsid w:val="6B527903"/>
    <w:rsid w:val="6B5742C7"/>
    <w:rsid w:val="6B5D0FFE"/>
    <w:rsid w:val="6B6D66E9"/>
    <w:rsid w:val="6B7219B4"/>
    <w:rsid w:val="6B7243C1"/>
    <w:rsid w:val="6B8E27AA"/>
    <w:rsid w:val="6BAA7B46"/>
    <w:rsid w:val="6BB32369"/>
    <w:rsid w:val="6BC5616F"/>
    <w:rsid w:val="6BC973B1"/>
    <w:rsid w:val="6BCC5BAD"/>
    <w:rsid w:val="6BD82737"/>
    <w:rsid w:val="6BD847D0"/>
    <w:rsid w:val="6BDB00D5"/>
    <w:rsid w:val="6BDE1FA2"/>
    <w:rsid w:val="6BF217CA"/>
    <w:rsid w:val="6BF35CE3"/>
    <w:rsid w:val="6C193139"/>
    <w:rsid w:val="6C270CC7"/>
    <w:rsid w:val="6C2B7D4A"/>
    <w:rsid w:val="6C2E7F3A"/>
    <w:rsid w:val="6C2E7FE5"/>
    <w:rsid w:val="6C404153"/>
    <w:rsid w:val="6C48737E"/>
    <w:rsid w:val="6C6A4848"/>
    <w:rsid w:val="6C710487"/>
    <w:rsid w:val="6C7823D0"/>
    <w:rsid w:val="6C7F11E7"/>
    <w:rsid w:val="6CA01135"/>
    <w:rsid w:val="6CA170F2"/>
    <w:rsid w:val="6CA2648E"/>
    <w:rsid w:val="6CA2711F"/>
    <w:rsid w:val="6CC13D29"/>
    <w:rsid w:val="6CC407E0"/>
    <w:rsid w:val="6CCD3709"/>
    <w:rsid w:val="6CD5125E"/>
    <w:rsid w:val="6CD92881"/>
    <w:rsid w:val="6CE15C60"/>
    <w:rsid w:val="6CE47937"/>
    <w:rsid w:val="6CF341C7"/>
    <w:rsid w:val="6D10014E"/>
    <w:rsid w:val="6D124340"/>
    <w:rsid w:val="6D135A3C"/>
    <w:rsid w:val="6D1A074C"/>
    <w:rsid w:val="6D1B4EC9"/>
    <w:rsid w:val="6D2269A7"/>
    <w:rsid w:val="6D245719"/>
    <w:rsid w:val="6D35041D"/>
    <w:rsid w:val="6D4A17EE"/>
    <w:rsid w:val="6D52083C"/>
    <w:rsid w:val="6D625355"/>
    <w:rsid w:val="6D701D98"/>
    <w:rsid w:val="6D7F0C51"/>
    <w:rsid w:val="6D845B66"/>
    <w:rsid w:val="6D8A0B89"/>
    <w:rsid w:val="6D957280"/>
    <w:rsid w:val="6DAF4627"/>
    <w:rsid w:val="6DB44020"/>
    <w:rsid w:val="6DC85DF4"/>
    <w:rsid w:val="6DD01E0F"/>
    <w:rsid w:val="6DD73E24"/>
    <w:rsid w:val="6DE404AF"/>
    <w:rsid w:val="6DF36640"/>
    <w:rsid w:val="6E031E3A"/>
    <w:rsid w:val="6E1061BD"/>
    <w:rsid w:val="6E160379"/>
    <w:rsid w:val="6E2476C2"/>
    <w:rsid w:val="6E28152E"/>
    <w:rsid w:val="6E283514"/>
    <w:rsid w:val="6E374DBA"/>
    <w:rsid w:val="6E3A4C74"/>
    <w:rsid w:val="6E441934"/>
    <w:rsid w:val="6E473E1F"/>
    <w:rsid w:val="6E575B89"/>
    <w:rsid w:val="6E576923"/>
    <w:rsid w:val="6E6A7648"/>
    <w:rsid w:val="6E725C86"/>
    <w:rsid w:val="6E7A2552"/>
    <w:rsid w:val="6EA3131D"/>
    <w:rsid w:val="6EA41028"/>
    <w:rsid w:val="6EA92448"/>
    <w:rsid w:val="6EC36160"/>
    <w:rsid w:val="6EC522AA"/>
    <w:rsid w:val="6ECE0C61"/>
    <w:rsid w:val="6EDD0BA5"/>
    <w:rsid w:val="6EE04D24"/>
    <w:rsid w:val="6EE410A5"/>
    <w:rsid w:val="6EEA4C0A"/>
    <w:rsid w:val="6F0D5EE9"/>
    <w:rsid w:val="6F1436B2"/>
    <w:rsid w:val="6F2056FD"/>
    <w:rsid w:val="6F234F46"/>
    <w:rsid w:val="6F4A4FFA"/>
    <w:rsid w:val="6F504AB0"/>
    <w:rsid w:val="6F5153A3"/>
    <w:rsid w:val="6F5A637D"/>
    <w:rsid w:val="6F5F6F50"/>
    <w:rsid w:val="6F71023B"/>
    <w:rsid w:val="6F7308C1"/>
    <w:rsid w:val="6F771A68"/>
    <w:rsid w:val="6F80734F"/>
    <w:rsid w:val="6FAA05D2"/>
    <w:rsid w:val="6FB75CB7"/>
    <w:rsid w:val="6FB947E1"/>
    <w:rsid w:val="6FC84C49"/>
    <w:rsid w:val="6FCE060C"/>
    <w:rsid w:val="6FCE1195"/>
    <w:rsid w:val="6FDC457F"/>
    <w:rsid w:val="6FE81663"/>
    <w:rsid w:val="6FEB130B"/>
    <w:rsid w:val="6FFC7E3F"/>
    <w:rsid w:val="6FFE1B47"/>
    <w:rsid w:val="70087296"/>
    <w:rsid w:val="700960E6"/>
    <w:rsid w:val="7016371B"/>
    <w:rsid w:val="701677CF"/>
    <w:rsid w:val="701E3D99"/>
    <w:rsid w:val="702B77EB"/>
    <w:rsid w:val="702E6A96"/>
    <w:rsid w:val="70382F6C"/>
    <w:rsid w:val="70467356"/>
    <w:rsid w:val="704E2816"/>
    <w:rsid w:val="70522787"/>
    <w:rsid w:val="705C1067"/>
    <w:rsid w:val="70641DF7"/>
    <w:rsid w:val="706D3ECA"/>
    <w:rsid w:val="707A4576"/>
    <w:rsid w:val="709C7675"/>
    <w:rsid w:val="709F4D62"/>
    <w:rsid w:val="70A03D5F"/>
    <w:rsid w:val="70A235A0"/>
    <w:rsid w:val="70A515BB"/>
    <w:rsid w:val="70BD5466"/>
    <w:rsid w:val="70C17388"/>
    <w:rsid w:val="70CB2257"/>
    <w:rsid w:val="70D031B1"/>
    <w:rsid w:val="70D718BC"/>
    <w:rsid w:val="70DC75A5"/>
    <w:rsid w:val="70E12A92"/>
    <w:rsid w:val="70E6414C"/>
    <w:rsid w:val="70EB2A06"/>
    <w:rsid w:val="70F02E3A"/>
    <w:rsid w:val="70FD7217"/>
    <w:rsid w:val="710A0EFC"/>
    <w:rsid w:val="711752F7"/>
    <w:rsid w:val="711A1E08"/>
    <w:rsid w:val="712633C2"/>
    <w:rsid w:val="712B7383"/>
    <w:rsid w:val="712C1347"/>
    <w:rsid w:val="713F0AF8"/>
    <w:rsid w:val="71441EB6"/>
    <w:rsid w:val="71446907"/>
    <w:rsid w:val="716049CF"/>
    <w:rsid w:val="716A4428"/>
    <w:rsid w:val="71737E6F"/>
    <w:rsid w:val="717912B5"/>
    <w:rsid w:val="71936A55"/>
    <w:rsid w:val="719C6052"/>
    <w:rsid w:val="719E3B17"/>
    <w:rsid w:val="71B05EE9"/>
    <w:rsid w:val="71BC6BFE"/>
    <w:rsid w:val="71CC7433"/>
    <w:rsid w:val="71DD4F57"/>
    <w:rsid w:val="71E95D82"/>
    <w:rsid w:val="71EE1F23"/>
    <w:rsid w:val="71F74E3A"/>
    <w:rsid w:val="72253BA7"/>
    <w:rsid w:val="7228057C"/>
    <w:rsid w:val="722A00C1"/>
    <w:rsid w:val="7239032F"/>
    <w:rsid w:val="723D33A7"/>
    <w:rsid w:val="723F23D6"/>
    <w:rsid w:val="72442AA2"/>
    <w:rsid w:val="725254A1"/>
    <w:rsid w:val="72530506"/>
    <w:rsid w:val="726B7265"/>
    <w:rsid w:val="727245F1"/>
    <w:rsid w:val="727309E9"/>
    <w:rsid w:val="72780690"/>
    <w:rsid w:val="727C5DC5"/>
    <w:rsid w:val="728269FA"/>
    <w:rsid w:val="728855E0"/>
    <w:rsid w:val="728A68F3"/>
    <w:rsid w:val="72A55A81"/>
    <w:rsid w:val="72A61215"/>
    <w:rsid w:val="72A77F65"/>
    <w:rsid w:val="72B56DE4"/>
    <w:rsid w:val="72BE6ECE"/>
    <w:rsid w:val="72C569B3"/>
    <w:rsid w:val="72C756FD"/>
    <w:rsid w:val="72C82CE8"/>
    <w:rsid w:val="72DB4FBD"/>
    <w:rsid w:val="72F0248D"/>
    <w:rsid w:val="730707A3"/>
    <w:rsid w:val="730923DF"/>
    <w:rsid w:val="7309258B"/>
    <w:rsid w:val="73102EAD"/>
    <w:rsid w:val="7317442E"/>
    <w:rsid w:val="73230AD1"/>
    <w:rsid w:val="73290A2F"/>
    <w:rsid w:val="73350B46"/>
    <w:rsid w:val="734F1B1A"/>
    <w:rsid w:val="73514B2F"/>
    <w:rsid w:val="736207BE"/>
    <w:rsid w:val="736B3B4C"/>
    <w:rsid w:val="736D58A3"/>
    <w:rsid w:val="736F7EF2"/>
    <w:rsid w:val="73707C59"/>
    <w:rsid w:val="73940419"/>
    <w:rsid w:val="739F2662"/>
    <w:rsid w:val="73A00748"/>
    <w:rsid w:val="73A83E54"/>
    <w:rsid w:val="73BC13A8"/>
    <w:rsid w:val="73BD7A99"/>
    <w:rsid w:val="73E83A16"/>
    <w:rsid w:val="73EF4BCD"/>
    <w:rsid w:val="73FD3A2C"/>
    <w:rsid w:val="74263249"/>
    <w:rsid w:val="742D0FA8"/>
    <w:rsid w:val="743260A1"/>
    <w:rsid w:val="74357124"/>
    <w:rsid w:val="743866A0"/>
    <w:rsid w:val="743B3A16"/>
    <w:rsid w:val="7444258A"/>
    <w:rsid w:val="744F6D88"/>
    <w:rsid w:val="745130A4"/>
    <w:rsid w:val="746B4887"/>
    <w:rsid w:val="747C0802"/>
    <w:rsid w:val="747F7B3C"/>
    <w:rsid w:val="748450A1"/>
    <w:rsid w:val="74872448"/>
    <w:rsid w:val="74904C64"/>
    <w:rsid w:val="74971AD5"/>
    <w:rsid w:val="749D7E0D"/>
    <w:rsid w:val="749E7C08"/>
    <w:rsid w:val="749F148A"/>
    <w:rsid w:val="749F3696"/>
    <w:rsid w:val="749F42FE"/>
    <w:rsid w:val="74B57D3F"/>
    <w:rsid w:val="74BB09E6"/>
    <w:rsid w:val="74D514D5"/>
    <w:rsid w:val="74D72973"/>
    <w:rsid w:val="74DA09ED"/>
    <w:rsid w:val="74DF245B"/>
    <w:rsid w:val="74F1077C"/>
    <w:rsid w:val="74FF2584"/>
    <w:rsid w:val="75023190"/>
    <w:rsid w:val="750268E2"/>
    <w:rsid w:val="7512197B"/>
    <w:rsid w:val="7517681D"/>
    <w:rsid w:val="7523560A"/>
    <w:rsid w:val="752421BC"/>
    <w:rsid w:val="75317EA1"/>
    <w:rsid w:val="754E5DF0"/>
    <w:rsid w:val="75546D4B"/>
    <w:rsid w:val="756952D2"/>
    <w:rsid w:val="75775481"/>
    <w:rsid w:val="758730D6"/>
    <w:rsid w:val="75A13DDA"/>
    <w:rsid w:val="75BB7298"/>
    <w:rsid w:val="75BF280B"/>
    <w:rsid w:val="75C06453"/>
    <w:rsid w:val="75D15A58"/>
    <w:rsid w:val="75D93BBD"/>
    <w:rsid w:val="75D967BE"/>
    <w:rsid w:val="75E35EA6"/>
    <w:rsid w:val="75E65AA3"/>
    <w:rsid w:val="75F8370E"/>
    <w:rsid w:val="75F84608"/>
    <w:rsid w:val="75FA2645"/>
    <w:rsid w:val="76151E1D"/>
    <w:rsid w:val="761B562C"/>
    <w:rsid w:val="762A422F"/>
    <w:rsid w:val="763D2B4F"/>
    <w:rsid w:val="764338BB"/>
    <w:rsid w:val="76473A0E"/>
    <w:rsid w:val="764C781C"/>
    <w:rsid w:val="76501917"/>
    <w:rsid w:val="766D10F0"/>
    <w:rsid w:val="76711388"/>
    <w:rsid w:val="7679381A"/>
    <w:rsid w:val="767A2921"/>
    <w:rsid w:val="76806CB2"/>
    <w:rsid w:val="769B05D2"/>
    <w:rsid w:val="76AD63DE"/>
    <w:rsid w:val="76B71D42"/>
    <w:rsid w:val="76D001B5"/>
    <w:rsid w:val="76D3592A"/>
    <w:rsid w:val="76E06015"/>
    <w:rsid w:val="76E73A78"/>
    <w:rsid w:val="76EA61B0"/>
    <w:rsid w:val="76EB394F"/>
    <w:rsid w:val="76EC5FAA"/>
    <w:rsid w:val="76F2764D"/>
    <w:rsid w:val="77000EA2"/>
    <w:rsid w:val="770C7ACE"/>
    <w:rsid w:val="770E4DAD"/>
    <w:rsid w:val="771643AE"/>
    <w:rsid w:val="77253B23"/>
    <w:rsid w:val="7725522A"/>
    <w:rsid w:val="772B02A2"/>
    <w:rsid w:val="772E0BA9"/>
    <w:rsid w:val="77346CA6"/>
    <w:rsid w:val="773E0B7C"/>
    <w:rsid w:val="77437658"/>
    <w:rsid w:val="7749507D"/>
    <w:rsid w:val="774A00CD"/>
    <w:rsid w:val="774F2397"/>
    <w:rsid w:val="775501F9"/>
    <w:rsid w:val="77583D37"/>
    <w:rsid w:val="77646FEC"/>
    <w:rsid w:val="77670B70"/>
    <w:rsid w:val="776718F7"/>
    <w:rsid w:val="776F1565"/>
    <w:rsid w:val="777E38A7"/>
    <w:rsid w:val="778A0A09"/>
    <w:rsid w:val="778B0109"/>
    <w:rsid w:val="778D6607"/>
    <w:rsid w:val="77925AEB"/>
    <w:rsid w:val="77930518"/>
    <w:rsid w:val="77B36426"/>
    <w:rsid w:val="77B87754"/>
    <w:rsid w:val="77B938CB"/>
    <w:rsid w:val="77CD2495"/>
    <w:rsid w:val="77E46B9F"/>
    <w:rsid w:val="77E90028"/>
    <w:rsid w:val="77EB27B7"/>
    <w:rsid w:val="77ED21B2"/>
    <w:rsid w:val="77F052AA"/>
    <w:rsid w:val="77F47281"/>
    <w:rsid w:val="77FA7A9B"/>
    <w:rsid w:val="78087704"/>
    <w:rsid w:val="780919EF"/>
    <w:rsid w:val="780E5A19"/>
    <w:rsid w:val="781467C0"/>
    <w:rsid w:val="781832DA"/>
    <w:rsid w:val="78215BC2"/>
    <w:rsid w:val="782A346A"/>
    <w:rsid w:val="782F3C1E"/>
    <w:rsid w:val="783777B2"/>
    <w:rsid w:val="783E46EA"/>
    <w:rsid w:val="78434A47"/>
    <w:rsid w:val="78534ED5"/>
    <w:rsid w:val="785508F1"/>
    <w:rsid w:val="78573757"/>
    <w:rsid w:val="785827B3"/>
    <w:rsid w:val="785E27D1"/>
    <w:rsid w:val="78691600"/>
    <w:rsid w:val="78693E15"/>
    <w:rsid w:val="786E21D4"/>
    <w:rsid w:val="788F3F19"/>
    <w:rsid w:val="789B1BE2"/>
    <w:rsid w:val="789C759A"/>
    <w:rsid w:val="78A27BA1"/>
    <w:rsid w:val="78A41BA9"/>
    <w:rsid w:val="78AE371B"/>
    <w:rsid w:val="78B55A7F"/>
    <w:rsid w:val="78C7296C"/>
    <w:rsid w:val="78D97796"/>
    <w:rsid w:val="78DD2CFB"/>
    <w:rsid w:val="78E6602F"/>
    <w:rsid w:val="78EA214E"/>
    <w:rsid w:val="78FF09E5"/>
    <w:rsid w:val="79021B11"/>
    <w:rsid w:val="790A1C7F"/>
    <w:rsid w:val="790B6A4D"/>
    <w:rsid w:val="790F1751"/>
    <w:rsid w:val="7926456C"/>
    <w:rsid w:val="792E5F27"/>
    <w:rsid w:val="793E0087"/>
    <w:rsid w:val="79410419"/>
    <w:rsid w:val="79417E56"/>
    <w:rsid w:val="7946627E"/>
    <w:rsid w:val="79503A3C"/>
    <w:rsid w:val="795135CA"/>
    <w:rsid w:val="795811A5"/>
    <w:rsid w:val="795C7A79"/>
    <w:rsid w:val="795F63B7"/>
    <w:rsid w:val="79644CA8"/>
    <w:rsid w:val="7969375B"/>
    <w:rsid w:val="796C5012"/>
    <w:rsid w:val="7970618C"/>
    <w:rsid w:val="79707E1F"/>
    <w:rsid w:val="7972772F"/>
    <w:rsid w:val="7984768A"/>
    <w:rsid w:val="79A67C73"/>
    <w:rsid w:val="79AD25DC"/>
    <w:rsid w:val="79BA06A9"/>
    <w:rsid w:val="79C50561"/>
    <w:rsid w:val="79C96C03"/>
    <w:rsid w:val="79DC4F6D"/>
    <w:rsid w:val="79EA69BB"/>
    <w:rsid w:val="79EA7822"/>
    <w:rsid w:val="79EC65B0"/>
    <w:rsid w:val="79EF17A4"/>
    <w:rsid w:val="7A1D4ED3"/>
    <w:rsid w:val="7A253322"/>
    <w:rsid w:val="7A2D130A"/>
    <w:rsid w:val="7A303360"/>
    <w:rsid w:val="7A343EFB"/>
    <w:rsid w:val="7A43327E"/>
    <w:rsid w:val="7A462F46"/>
    <w:rsid w:val="7A4D1791"/>
    <w:rsid w:val="7A643B40"/>
    <w:rsid w:val="7A6E36E4"/>
    <w:rsid w:val="7A764E4F"/>
    <w:rsid w:val="7A8D22FB"/>
    <w:rsid w:val="7A9A4645"/>
    <w:rsid w:val="7A9B268A"/>
    <w:rsid w:val="7AAE0CD8"/>
    <w:rsid w:val="7AB41813"/>
    <w:rsid w:val="7ADE04EE"/>
    <w:rsid w:val="7AE64369"/>
    <w:rsid w:val="7AEE5F9B"/>
    <w:rsid w:val="7AF1328E"/>
    <w:rsid w:val="7B051D15"/>
    <w:rsid w:val="7B060D74"/>
    <w:rsid w:val="7B425797"/>
    <w:rsid w:val="7B59123E"/>
    <w:rsid w:val="7B5E6465"/>
    <w:rsid w:val="7B663CCC"/>
    <w:rsid w:val="7B6A04ED"/>
    <w:rsid w:val="7B7E0C48"/>
    <w:rsid w:val="7B871986"/>
    <w:rsid w:val="7B8936E1"/>
    <w:rsid w:val="7B955D01"/>
    <w:rsid w:val="7BA36196"/>
    <w:rsid w:val="7BA41CC8"/>
    <w:rsid w:val="7BA479E1"/>
    <w:rsid w:val="7BA60691"/>
    <w:rsid w:val="7BAA1725"/>
    <w:rsid w:val="7BAB7AE8"/>
    <w:rsid w:val="7BC74B19"/>
    <w:rsid w:val="7BD22607"/>
    <w:rsid w:val="7BD63FC4"/>
    <w:rsid w:val="7BDC5E4B"/>
    <w:rsid w:val="7BDF1394"/>
    <w:rsid w:val="7BE0125F"/>
    <w:rsid w:val="7BE2105E"/>
    <w:rsid w:val="7BF66E51"/>
    <w:rsid w:val="7C02656B"/>
    <w:rsid w:val="7C0C013C"/>
    <w:rsid w:val="7C106477"/>
    <w:rsid w:val="7C1B2119"/>
    <w:rsid w:val="7C1F044C"/>
    <w:rsid w:val="7C2E45FC"/>
    <w:rsid w:val="7C311E76"/>
    <w:rsid w:val="7C3F711F"/>
    <w:rsid w:val="7C4D1AAC"/>
    <w:rsid w:val="7C6C01FB"/>
    <w:rsid w:val="7CA51C8D"/>
    <w:rsid w:val="7CBD218C"/>
    <w:rsid w:val="7CC504B9"/>
    <w:rsid w:val="7CC54C03"/>
    <w:rsid w:val="7CD10CAA"/>
    <w:rsid w:val="7CD658EE"/>
    <w:rsid w:val="7CE33498"/>
    <w:rsid w:val="7D030C33"/>
    <w:rsid w:val="7D0A41BC"/>
    <w:rsid w:val="7D0A7FDD"/>
    <w:rsid w:val="7D0C31BB"/>
    <w:rsid w:val="7D125ED1"/>
    <w:rsid w:val="7D1626D7"/>
    <w:rsid w:val="7D1A5C58"/>
    <w:rsid w:val="7D2D4576"/>
    <w:rsid w:val="7D2F2073"/>
    <w:rsid w:val="7D310973"/>
    <w:rsid w:val="7D3D1E9B"/>
    <w:rsid w:val="7D403C54"/>
    <w:rsid w:val="7D6B683D"/>
    <w:rsid w:val="7D6F29DA"/>
    <w:rsid w:val="7D73672A"/>
    <w:rsid w:val="7D75209F"/>
    <w:rsid w:val="7D796809"/>
    <w:rsid w:val="7D797BCD"/>
    <w:rsid w:val="7D876BFD"/>
    <w:rsid w:val="7D8A22CE"/>
    <w:rsid w:val="7D8E6103"/>
    <w:rsid w:val="7D937A68"/>
    <w:rsid w:val="7D9860FB"/>
    <w:rsid w:val="7D9F75B4"/>
    <w:rsid w:val="7DA264F1"/>
    <w:rsid w:val="7DA965FE"/>
    <w:rsid w:val="7DAE5C75"/>
    <w:rsid w:val="7DC26DB4"/>
    <w:rsid w:val="7DC62F11"/>
    <w:rsid w:val="7DC958FA"/>
    <w:rsid w:val="7DC96FD0"/>
    <w:rsid w:val="7DCD67D0"/>
    <w:rsid w:val="7DD77ACD"/>
    <w:rsid w:val="7DEB5A8B"/>
    <w:rsid w:val="7DEE5A52"/>
    <w:rsid w:val="7DF1145F"/>
    <w:rsid w:val="7DF903D4"/>
    <w:rsid w:val="7DFC2B9F"/>
    <w:rsid w:val="7E013BC9"/>
    <w:rsid w:val="7E0A4F04"/>
    <w:rsid w:val="7E107425"/>
    <w:rsid w:val="7E145DF7"/>
    <w:rsid w:val="7E1D1995"/>
    <w:rsid w:val="7E202249"/>
    <w:rsid w:val="7E2D7D75"/>
    <w:rsid w:val="7E3468B6"/>
    <w:rsid w:val="7E381BED"/>
    <w:rsid w:val="7E4B0510"/>
    <w:rsid w:val="7E5376C2"/>
    <w:rsid w:val="7E7064C2"/>
    <w:rsid w:val="7E7862CA"/>
    <w:rsid w:val="7E7A577F"/>
    <w:rsid w:val="7E8749BD"/>
    <w:rsid w:val="7E974326"/>
    <w:rsid w:val="7E982B42"/>
    <w:rsid w:val="7EAD561E"/>
    <w:rsid w:val="7EC0283D"/>
    <w:rsid w:val="7ECD4914"/>
    <w:rsid w:val="7ECE4886"/>
    <w:rsid w:val="7ED85559"/>
    <w:rsid w:val="7ED927E0"/>
    <w:rsid w:val="7EE35B35"/>
    <w:rsid w:val="7EE87429"/>
    <w:rsid w:val="7EF0710E"/>
    <w:rsid w:val="7EFC4C13"/>
    <w:rsid w:val="7EFF0F92"/>
    <w:rsid w:val="7F3675CB"/>
    <w:rsid w:val="7F4C4618"/>
    <w:rsid w:val="7F57354F"/>
    <w:rsid w:val="7F666595"/>
    <w:rsid w:val="7F6B7608"/>
    <w:rsid w:val="7F7D6946"/>
    <w:rsid w:val="7FAA609E"/>
    <w:rsid w:val="7FDB5DB9"/>
    <w:rsid w:val="7FE378AD"/>
    <w:rsid w:val="7FED1553"/>
    <w:rsid w:val="7FF47A55"/>
    <w:rsid w:val="7FFB31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autoRedefine/>
    <w:qFormat/>
    <w:uiPriority w:val="1"/>
    <w:pPr>
      <w:ind w:left="492"/>
    </w:pPr>
    <w:rPr>
      <w:rFonts w:ascii="微软雅黑" w:hAnsi="微软雅黑" w:eastAsia="微软雅黑" w:cs="微软雅黑"/>
      <w:b/>
      <w:bCs/>
      <w:sz w:val="32"/>
      <w:szCs w:val="32"/>
      <w:lang w:val="zh-CN" w:bidi="zh-CN"/>
    </w:rPr>
  </w:style>
  <w:style w:type="paragraph" w:styleId="4">
    <w:name w:val="Body Text Indent"/>
    <w:basedOn w:val="1"/>
    <w:qFormat/>
    <w:uiPriority w:val="0"/>
    <w:pPr>
      <w:adjustRightInd w:val="0"/>
      <w:spacing w:line="312" w:lineRule="atLeast"/>
      <w:ind w:firstLine="574"/>
      <w:textAlignment w:val="baseline"/>
    </w:pPr>
    <w:rPr>
      <w:rFonts w:ascii="宋体"/>
      <w:kern w:val="0"/>
      <w:sz w:val="28"/>
    </w:rPr>
  </w:style>
  <w:style w:type="paragraph" w:styleId="5">
    <w:name w:val="footer"/>
    <w:basedOn w:val="1"/>
    <w:autoRedefine/>
    <w:qFormat/>
    <w:uiPriority w:val="0"/>
    <w:pPr>
      <w:tabs>
        <w:tab w:val="center" w:pos="4153"/>
        <w:tab w:val="right" w:pos="8306"/>
      </w:tabs>
      <w:snapToGrid w:val="0"/>
      <w:jc w:val="left"/>
    </w:pPr>
    <w:rPr>
      <w:sz w:val="18"/>
      <w:szCs w:val="18"/>
    </w:rPr>
  </w:style>
  <w:style w:type="paragraph" w:styleId="6">
    <w:name w:val="Normal (Web)"/>
    <w:basedOn w:val="1"/>
    <w:autoRedefine/>
    <w:qFormat/>
    <w:uiPriority w:val="0"/>
    <w:rPr>
      <w:sz w:val="24"/>
    </w:rPr>
  </w:style>
  <w:style w:type="paragraph" w:styleId="7">
    <w:name w:val="Body Text First Indent 2"/>
    <w:basedOn w:val="4"/>
    <w:qFormat/>
    <w:uiPriority w:val="99"/>
    <w:pPr>
      <w:spacing w:line="360" w:lineRule="auto"/>
      <w:ind w:firstLine="420" w:firstLineChars="200"/>
    </w:pPr>
    <w:rPr>
      <w:rFonts w:ascii="宋体" w:hAnsi="宋体"/>
      <w:sz w:val="20"/>
    </w:rPr>
  </w:style>
  <w:style w:type="character" w:styleId="10">
    <w:name w:val="Hyperlink"/>
    <w:basedOn w:val="9"/>
    <w:qFormat/>
    <w:uiPriority w:val="0"/>
    <w:rPr>
      <w:color w:val="0000FF"/>
      <w:u w:val="single"/>
    </w:rPr>
  </w:style>
  <w:style w:type="paragraph" w:customStyle="1" w:styleId="11">
    <w:name w:val="段"/>
    <w:autoRedefine/>
    <w:qFormat/>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 w:type="paragraph" w:customStyle="1" w:styleId="12">
    <w:name w:val="二级条标题"/>
    <w:basedOn w:val="13"/>
    <w:next w:val="11"/>
    <w:qFormat/>
    <w:uiPriority w:val="0"/>
    <w:pPr>
      <w:numPr>
        <w:ilvl w:val="2"/>
        <w:numId w:val="1"/>
      </w:numPr>
      <w:spacing w:before="50" w:after="50"/>
      <w:outlineLvl w:val="3"/>
    </w:pPr>
  </w:style>
  <w:style w:type="paragraph" w:customStyle="1" w:styleId="13">
    <w:name w:val="一级条标题"/>
    <w:next w:val="11"/>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6320</Words>
  <Characters>6674</Characters>
  <Lines>25</Lines>
  <Paragraphs>7</Paragraphs>
  <TotalTime>5</TotalTime>
  <ScaleCrop>false</ScaleCrop>
  <LinksUpToDate>false</LinksUpToDate>
  <CharactersWithSpaces>6711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2022-12-12T05:47:00Z</dcterms:created>
  <dc:creator>15251</dc:creator>
  <cp:lastModifiedBy>技术所</cp:lastModifiedBy>
  <dcterms:modified xsi:type="dcterms:W3CDTF">2024-10-28T02:39:52Z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67038A25EE1D4003B6C792DA05C4DA7D_13</vt:lpwstr>
  </property>
</Properties>
</file>